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37E3" w14:textId="661EABC7" w:rsidR="00A61C90" w:rsidRDefault="000B1C85" w:rsidP="00A61C90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480" w:lineRule="auto"/>
        <w:jc w:val="left"/>
        <w:outlineLvl w:val="1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Additional File 1</w:t>
      </w:r>
      <w:r w:rsidR="00BF313D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 xml:space="preserve">. </w:t>
      </w:r>
      <w:r w:rsidR="00A61C90" w:rsidRPr="00A61C90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The ICD-10 codes used by comorbidity to compute the Charlson comorbidity index</w:t>
      </w:r>
    </w:p>
    <w:p w14:paraId="6A22CDF2" w14:textId="3BC9E46F" w:rsidR="006C7311" w:rsidRPr="006C7311" w:rsidRDefault="006C7311" w:rsidP="00A61C90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480" w:lineRule="auto"/>
        <w:jc w:val="left"/>
        <w:outlineLvl w:val="1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The ICD-10 codes used by </w:t>
      </w:r>
      <w:r w:rsidRPr="006C7311">
        <w:rPr>
          <w:rFonts w:ascii="Times New Roman" w:eastAsia="굴림체" w:hAnsi="Times New Roman" w:cs="Times New Roman"/>
          <w:color w:val="333333"/>
          <w:kern w:val="0"/>
          <w:sz w:val="18"/>
          <w:szCs w:val="18"/>
          <w:shd w:val="clear" w:color="auto" w:fill="F7F7F7"/>
        </w:rPr>
        <w:t>comorbidity</w:t>
      </w: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 to compute the Charlson comorbidity index are:</w:t>
      </w:r>
    </w:p>
    <w:p w14:paraId="54439F5E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Myocardial infarction: I21.x, I22.x, I25.2</w:t>
      </w:r>
    </w:p>
    <w:p w14:paraId="4145CCE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Congestive heart failure: I09.9, I11.0, I13.0, I13.2, I25.5, I42.0, I42.5 - I42.9, I43.x, I50.x, P29.0</w:t>
      </w:r>
    </w:p>
    <w:p w14:paraId="2DD2F8D6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Peripheral vascular disease: I70.x, I71.x, I73.1, I73.8, I73.9, I77.1, I79.0, I79.2, K55.1, K55.8, K55.9, Z95.8, Z95.9</w:t>
      </w:r>
    </w:p>
    <w:p w14:paraId="11A0FCB1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Cerebrovascular disease: G45.x, G46.x, H34.0, I60.x - I69.x</w:t>
      </w:r>
    </w:p>
    <w:p w14:paraId="680AC8B2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Dementia: F00.x - F03.x, F05.1, G30.x, G31.1</w:t>
      </w:r>
    </w:p>
    <w:p w14:paraId="00C24FED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Chronic pulmonary disease: I27.8, I27.9, J40.x - J47.x, J60.x - J67.x, J68.4, J70.1, J70.3</w:t>
      </w:r>
    </w:p>
    <w:p w14:paraId="3980E2DB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Rheumatic disease: M05.x, M06.x, M31.5, M32.x - M34.x, M35.1, M35.3, M36.0</w:t>
      </w:r>
    </w:p>
    <w:p w14:paraId="208BC866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Peptic ulcer disease: K25.x - K28.x</w:t>
      </w:r>
    </w:p>
    <w:p w14:paraId="2D93B20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Mild liver disease: B18.x, K70.0 - K70.3, K70.9, K71.3 - K71.5, K71.7, K73.x, K74.x, K76.0, K76.2 - K76.4, K76.8, K76.9, Z94.4</w:t>
      </w:r>
    </w:p>
    <w:p w14:paraId="16212FCD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without chronic complication: E10.0, E10.1, E10.6, E10.8, E10.9, E11.0, E11.1, E11.6, E11.8, E11.9, E12.0, E12.1, E12.6, E12.8, E12.9, E13.0, E13.1, E13.6, E13.8, E13.9, E14.0, E14.1, E14.6, E14.8, E14.9</w:t>
      </w:r>
    </w:p>
    <w:p w14:paraId="123397F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 chronic complication: E10.2 - E10.5, E10.7, E11.2 - E11.5, E11.7, E12.2 - E12.5, E12.7, E13.2 - E13.5, E13.7, E14.2 - E14.5, E14.7</w:t>
      </w:r>
    </w:p>
    <w:p w14:paraId="605A16C1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Hemiplegia or paraplegia: G04.1, G11.4, G80.1, G80.2, G81.x, G82.x, G83.0 - G83.4, G83.9</w:t>
      </w:r>
    </w:p>
    <w:p w14:paraId="7B27C82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Renal disease: I12.0, I13.1, N03.2 - N03.7, N05.2 - N05.7, N18.x, N19.x, N25.0, Z49.0 - Z49.2, Z94.0, Z99.2</w:t>
      </w:r>
    </w:p>
    <w:p w14:paraId="40363212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lastRenderedPageBreak/>
        <w:t>Any malignancy, including lymphoma and leukaemia, except malignant neoplasm of skin: C00.x - C26.x, C30.x - C34.x, C37.x - C41.x, C43.x, C45.x - C58.x, C60.x - C76.x, C81.x - C85.x, C88.x, C90.x - C97.x</w:t>
      </w:r>
    </w:p>
    <w:p w14:paraId="7A2BB57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Moderate or severe liver disease: I85.0, I85.9, I86.4, I98.2, K70.4, K71.1, K72.1, K72.9, K76.5, K76.6, K76.7</w:t>
      </w:r>
    </w:p>
    <w:p w14:paraId="79DDFA7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Metastatic solid tumour: C77.x - C80.x</w:t>
      </w:r>
    </w:p>
    <w:p w14:paraId="53DE657F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AIDS/HIV: B20.x - B22.x, B24.x</w:t>
      </w:r>
    </w:p>
    <w:p w14:paraId="53503A49" w14:textId="77777777" w:rsidR="00DF5004" w:rsidRPr="006C7311" w:rsidRDefault="00DF5004"/>
    <w:sectPr w:rsidR="00DF5004" w:rsidRPr="006C7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16BB" w14:textId="77777777" w:rsidR="005173AD" w:rsidRDefault="005173AD" w:rsidP="00BF313D">
      <w:pPr>
        <w:spacing w:after="0" w:line="240" w:lineRule="auto"/>
      </w:pPr>
      <w:r>
        <w:separator/>
      </w:r>
    </w:p>
  </w:endnote>
  <w:endnote w:type="continuationSeparator" w:id="0">
    <w:p w14:paraId="67AE8312" w14:textId="77777777" w:rsidR="005173AD" w:rsidRDefault="005173AD" w:rsidP="00B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419B" w14:textId="77777777" w:rsidR="005173AD" w:rsidRDefault="005173AD" w:rsidP="00BF313D">
      <w:pPr>
        <w:spacing w:after="0" w:line="240" w:lineRule="auto"/>
      </w:pPr>
      <w:r>
        <w:separator/>
      </w:r>
    </w:p>
  </w:footnote>
  <w:footnote w:type="continuationSeparator" w:id="0">
    <w:p w14:paraId="73F1A8EF" w14:textId="77777777" w:rsidR="005173AD" w:rsidRDefault="005173AD" w:rsidP="00BF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38F"/>
    <w:multiLevelType w:val="multilevel"/>
    <w:tmpl w:val="D14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11"/>
    <w:rsid w:val="000B1C85"/>
    <w:rsid w:val="0013530A"/>
    <w:rsid w:val="0033325C"/>
    <w:rsid w:val="005173AD"/>
    <w:rsid w:val="006C7311"/>
    <w:rsid w:val="007168CE"/>
    <w:rsid w:val="008672FE"/>
    <w:rsid w:val="00A61C90"/>
    <w:rsid w:val="00A8696F"/>
    <w:rsid w:val="00BF313D"/>
    <w:rsid w:val="00DF500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F0D9"/>
  <w15:chartTrackingRefBased/>
  <w15:docId w15:val="{9AE647AD-BD3C-4640-8A40-FE6672F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C7311"/>
    <w:pPr>
      <w:widowControl/>
      <w:pBdr>
        <w:bottom w:val="single" w:sz="24" w:space="2" w:color="F7F7F7"/>
      </w:pBdr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C7311"/>
    <w:rPr>
      <w:rFonts w:ascii="굴림" w:eastAsia="굴림" w:hAnsi="굴림" w:cs="굴림"/>
      <w:b/>
      <w:bCs/>
      <w:kern w:val="0"/>
      <w:sz w:val="35"/>
      <w:szCs w:val="35"/>
    </w:rPr>
  </w:style>
  <w:style w:type="character" w:styleId="HTML">
    <w:name w:val="HTML Code"/>
    <w:basedOn w:val="a0"/>
    <w:uiPriority w:val="99"/>
    <w:semiHidden/>
    <w:unhideWhenUsed/>
    <w:rsid w:val="006C7311"/>
    <w:rPr>
      <w:rFonts w:ascii="Consolas" w:eastAsia="굴림체" w:hAnsi="Consolas" w:cs="굴림체" w:hint="default"/>
      <w:color w:val="333333"/>
      <w:sz w:val="20"/>
      <w:szCs w:val="20"/>
      <w:shd w:val="clear" w:color="auto" w:fill="F7F7F7"/>
    </w:rPr>
  </w:style>
  <w:style w:type="paragraph" w:styleId="a3">
    <w:name w:val="Normal (Web)"/>
    <w:basedOn w:val="a"/>
    <w:uiPriority w:val="99"/>
    <w:semiHidden/>
    <w:unhideWhenUsed/>
    <w:rsid w:val="006C731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313D"/>
  </w:style>
  <w:style w:type="paragraph" w:styleId="a5">
    <w:name w:val="footer"/>
    <w:basedOn w:val="a"/>
    <w:link w:val="Char0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7799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2</cp:revision>
  <dcterms:created xsi:type="dcterms:W3CDTF">2020-10-01T08:40:00Z</dcterms:created>
  <dcterms:modified xsi:type="dcterms:W3CDTF">2020-10-01T08:40:00Z</dcterms:modified>
</cp:coreProperties>
</file>