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B8" w:rsidRPr="009C2107" w:rsidRDefault="009D57B8" w:rsidP="009D57B8">
      <w:pPr>
        <w:widowControl w:val="0"/>
        <w:rPr>
          <w:rFonts w:ascii="Times New Roman" w:hAnsi="Times New Roman" w:cs="Times New Roman"/>
          <w:sz w:val="20"/>
          <w:szCs w:val="20"/>
        </w:rPr>
      </w:pPr>
      <w:r w:rsidRPr="009C2107">
        <w:rPr>
          <w:rFonts w:ascii="Times New Roman" w:hAnsi="Times New Roman" w:cs="Times New Roman"/>
          <w:b/>
          <w:bCs/>
          <w:color w:val="000000"/>
          <w:sz w:val="20"/>
          <w:szCs w:val="20"/>
        </w:rPr>
        <w:t>Supplementary Table 1.</w:t>
      </w:r>
      <w:r w:rsidRPr="009C2107">
        <w:rPr>
          <w:rFonts w:ascii="Times New Roman" w:hAnsi="Times New Roman" w:cs="Times New Roman"/>
          <w:color w:val="000000"/>
          <w:sz w:val="20"/>
          <w:szCs w:val="20"/>
        </w:rPr>
        <w:t xml:space="preserve"> Poisson model results for monthly suicide rate in five urban California counties (1999–2019).</w:t>
      </w:r>
    </w:p>
    <w:tbl>
      <w:tblPr>
        <w:tblW w:w="10206" w:type="dxa"/>
        <w:jc w:val="center"/>
        <w:tblLayout w:type="fixed"/>
        <w:tblCellMar>
          <w:top w:w="15" w:type="dxa"/>
          <w:left w:w="15" w:type="dxa"/>
          <w:bottom w:w="15" w:type="dxa"/>
          <w:right w:w="15" w:type="dxa"/>
        </w:tblCellMar>
        <w:tblLook w:val="04A0" w:firstRow="1" w:lastRow="0" w:firstColumn="1" w:lastColumn="0" w:noHBand="0" w:noVBand="1"/>
      </w:tblPr>
      <w:tblGrid>
        <w:gridCol w:w="1135"/>
        <w:gridCol w:w="850"/>
        <w:gridCol w:w="1418"/>
        <w:gridCol w:w="850"/>
        <w:gridCol w:w="1417"/>
        <w:gridCol w:w="851"/>
        <w:gridCol w:w="1417"/>
        <w:gridCol w:w="851"/>
        <w:gridCol w:w="1417"/>
      </w:tblGrid>
      <w:tr w:rsidR="009D57B8" w:rsidRPr="009C2107" w:rsidTr="00386A64">
        <w:trPr>
          <w:trHeight w:val="440"/>
          <w:jc w:val="center"/>
        </w:trPr>
        <w:tc>
          <w:tcPr>
            <w:tcW w:w="1135"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rPr>
                <w:rFonts w:ascii="Times New Roman" w:hAnsi="Times New Roman" w:cs="Times New Roman"/>
                <w:sz w:val="20"/>
                <w:szCs w:val="20"/>
              </w:rPr>
            </w:pPr>
          </w:p>
        </w:tc>
        <w:tc>
          <w:tcPr>
            <w:tcW w:w="2268" w:type="dxa"/>
            <w:gridSpan w:val="2"/>
            <w:tcBorders>
              <w:top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Baseline (Temperature Excluded)</w:t>
            </w:r>
          </w:p>
        </w:tc>
        <w:tc>
          <w:tcPr>
            <w:tcW w:w="2267" w:type="dxa"/>
            <w:gridSpan w:val="2"/>
            <w:tcBorders>
              <w:top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Average Temperature</w:t>
            </w:r>
          </w:p>
        </w:tc>
        <w:tc>
          <w:tcPr>
            <w:tcW w:w="2268" w:type="dxa"/>
            <w:gridSpan w:val="2"/>
            <w:tcBorders>
              <w:top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Maximum Temperature</w:t>
            </w:r>
          </w:p>
        </w:tc>
        <w:tc>
          <w:tcPr>
            <w:tcW w:w="2268" w:type="dxa"/>
            <w:gridSpan w:val="2"/>
            <w:tcBorders>
              <w:top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Minimum Temperature</w:t>
            </w:r>
          </w:p>
        </w:tc>
      </w:tr>
      <w:tr w:rsidR="009D57B8" w:rsidRPr="009C2107" w:rsidTr="00386A64">
        <w:trPr>
          <w:jc w:val="center"/>
        </w:trPr>
        <w:tc>
          <w:tcPr>
            <w:tcW w:w="1135"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rPr>
                <w:rFonts w:ascii="Times New Roman" w:hAnsi="Times New Roman" w:cs="Times New Roman"/>
                <w:sz w:val="20"/>
                <w:szCs w:val="20"/>
              </w:rPr>
            </w:pPr>
          </w:p>
        </w:tc>
        <w:tc>
          <w:tcPr>
            <w:tcW w:w="850"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IRR</w:t>
            </w:r>
          </w:p>
        </w:tc>
        <w:tc>
          <w:tcPr>
            <w:tcW w:w="1418"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95% CI</w:t>
            </w:r>
          </w:p>
        </w:tc>
        <w:tc>
          <w:tcPr>
            <w:tcW w:w="850"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IRR</w:t>
            </w:r>
          </w:p>
        </w:tc>
        <w:tc>
          <w:tcPr>
            <w:tcW w:w="1417"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95% CI</w:t>
            </w:r>
          </w:p>
        </w:tc>
        <w:tc>
          <w:tcPr>
            <w:tcW w:w="851"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IRR</w:t>
            </w:r>
          </w:p>
        </w:tc>
        <w:tc>
          <w:tcPr>
            <w:tcW w:w="1417"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95% CI</w:t>
            </w:r>
          </w:p>
        </w:tc>
        <w:tc>
          <w:tcPr>
            <w:tcW w:w="851"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IRR</w:t>
            </w:r>
          </w:p>
        </w:tc>
        <w:tc>
          <w:tcPr>
            <w:tcW w:w="1417"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95% CI</w:t>
            </w:r>
          </w:p>
        </w:tc>
      </w:tr>
      <w:tr w:rsidR="009D57B8" w:rsidRPr="009C2107" w:rsidTr="00386A64">
        <w:trPr>
          <w:jc w:val="center"/>
        </w:trPr>
        <w:tc>
          <w:tcPr>
            <w:tcW w:w="10206" w:type="dxa"/>
            <w:gridSpan w:val="9"/>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jc w:val="center"/>
              <w:rPr>
                <w:rFonts w:ascii="Times New Roman" w:hAnsi="Times New Roman" w:cs="Times New Roman"/>
                <w:b/>
                <w:bCs/>
                <w:sz w:val="20"/>
                <w:szCs w:val="20"/>
              </w:rPr>
            </w:pPr>
            <w:r w:rsidRPr="009C2107">
              <w:rPr>
                <w:rFonts w:ascii="Times New Roman" w:hAnsi="Times New Roman" w:cs="Times New Roman"/>
                <w:b/>
                <w:bCs/>
                <w:color w:val="000000"/>
                <w:sz w:val="20"/>
                <w:szCs w:val="20"/>
              </w:rPr>
              <w:t>Temperature</w:t>
            </w:r>
          </w:p>
        </w:tc>
      </w:tr>
      <w:tr w:rsidR="009D57B8" w:rsidRPr="009C2107" w:rsidTr="00386A64">
        <w:trPr>
          <w:trHeight w:val="440"/>
          <w:jc w:val="center"/>
        </w:trPr>
        <w:tc>
          <w:tcPr>
            <w:tcW w:w="1135" w:type="dxa"/>
            <w:tcBorders>
              <w:top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Average</w:t>
            </w:r>
          </w:p>
        </w:tc>
        <w:tc>
          <w:tcPr>
            <w:tcW w:w="2268" w:type="dxa"/>
            <w:gridSpan w:val="2"/>
            <w:tcBorders>
              <w:top w:val="single" w:sz="4" w:space="0" w:color="auto"/>
              <w:lef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850" w:type="dxa"/>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color w:val="000000"/>
                <w:sz w:val="20"/>
                <w:szCs w:val="20"/>
              </w:rPr>
            </w:pPr>
            <w:r w:rsidRPr="009C2107">
              <w:rPr>
                <w:rFonts w:ascii="Times New Roman" w:hAnsi="Times New Roman" w:cs="Times New Roman"/>
                <w:color w:val="000000"/>
                <w:sz w:val="20"/>
                <w:szCs w:val="20"/>
              </w:rPr>
              <w:t>1.0083</w:t>
            </w:r>
          </w:p>
          <w:p w:rsidR="009D57B8" w:rsidRPr="009C2107" w:rsidRDefault="009D57B8" w:rsidP="00386A64">
            <w:pPr>
              <w:widowControl w:val="0"/>
              <w:jc w:val="center"/>
              <w:rPr>
                <w:rFonts w:ascii="Times New Roman" w:hAnsi="Times New Roman" w:cs="Times New Roman"/>
                <w:sz w:val="20"/>
                <w:szCs w:val="20"/>
              </w:rPr>
            </w:pPr>
          </w:p>
        </w:tc>
        <w:tc>
          <w:tcPr>
            <w:tcW w:w="1417" w:type="dxa"/>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color w:val="000000"/>
                <w:sz w:val="20"/>
                <w:szCs w:val="20"/>
              </w:rPr>
            </w:pPr>
            <w:r w:rsidRPr="009C2107">
              <w:rPr>
                <w:rFonts w:ascii="Times New Roman" w:hAnsi="Times New Roman" w:cs="Times New Roman"/>
                <w:color w:val="000000"/>
                <w:sz w:val="20"/>
                <w:szCs w:val="20"/>
              </w:rPr>
              <w:t>1.0029-1.0139</w:t>
            </w:r>
          </w:p>
          <w:p w:rsidR="009D57B8" w:rsidRPr="009C2107" w:rsidRDefault="009D57B8" w:rsidP="00386A64">
            <w:pPr>
              <w:widowControl w:val="0"/>
              <w:jc w:val="center"/>
              <w:rPr>
                <w:rFonts w:ascii="Times New Roman" w:hAnsi="Times New Roman" w:cs="Times New Roman"/>
                <w:sz w:val="20"/>
                <w:szCs w:val="20"/>
              </w:rPr>
            </w:pP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r>
      <w:tr w:rsidR="009D57B8" w:rsidRPr="009C2107" w:rsidTr="00386A64">
        <w:trPr>
          <w:trHeight w:val="400"/>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Maximum</w:t>
            </w:r>
          </w:p>
        </w:tc>
        <w:tc>
          <w:tcPr>
            <w:tcW w:w="2268" w:type="dxa"/>
            <w:gridSpan w:val="2"/>
            <w:tcBorders>
              <w:lef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7" w:type="dxa"/>
            <w:gridSpan w:val="2"/>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color w:val="000000"/>
                <w:sz w:val="20"/>
                <w:szCs w:val="20"/>
              </w:rPr>
            </w:pPr>
            <w:r w:rsidRPr="009C2107">
              <w:rPr>
                <w:rFonts w:ascii="Times New Roman" w:hAnsi="Times New Roman" w:cs="Times New Roman"/>
                <w:color w:val="000000"/>
                <w:sz w:val="20"/>
                <w:szCs w:val="20"/>
              </w:rPr>
              <w:t>1.0070</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1.0024-1.0116</w:t>
            </w:r>
          </w:p>
        </w:tc>
        <w:tc>
          <w:tcPr>
            <w:tcW w:w="2268" w:type="dxa"/>
            <w:gridSpan w:val="2"/>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r>
      <w:tr w:rsidR="009D57B8" w:rsidRPr="009C2107" w:rsidTr="00386A64">
        <w:trPr>
          <w:trHeight w:val="400"/>
          <w:jc w:val="center"/>
        </w:trPr>
        <w:tc>
          <w:tcPr>
            <w:tcW w:w="1135" w:type="dxa"/>
            <w:tcBorders>
              <w:bottom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Minimum</w:t>
            </w:r>
          </w:p>
        </w:tc>
        <w:tc>
          <w:tcPr>
            <w:tcW w:w="2268" w:type="dxa"/>
            <w:gridSpan w:val="2"/>
            <w:tcBorders>
              <w:left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7" w:type="dxa"/>
            <w:gridSpan w:val="2"/>
            <w:tcBorders>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8" w:type="dxa"/>
            <w:gridSpan w:val="2"/>
            <w:tcBorders>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851"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color w:val="000000"/>
                <w:sz w:val="20"/>
                <w:szCs w:val="20"/>
              </w:rPr>
            </w:pPr>
            <w:r w:rsidRPr="009C2107">
              <w:rPr>
                <w:rFonts w:ascii="Times New Roman" w:hAnsi="Times New Roman" w:cs="Times New Roman"/>
                <w:color w:val="000000"/>
                <w:sz w:val="20"/>
                <w:szCs w:val="20"/>
              </w:rPr>
              <w:t>1.0088</w:t>
            </w:r>
          </w:p>
        </w:tc>
        <w:tc>
          <w:tcPr>
            <w:tcW w:w="1417"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1.0026-1.0151</w:t>
            </w:r>
          </w:p>
        </w:tc>
      </w:tr>
      <w:tr w:rsidR="009D57B8" w:rsidRPr="009C2107" w:rsidTr="00386A64">
        <w:trPr>
          <w:jc w:val="center"/>
        </w:trPr>
        <w:tc>
          <w:tcPr>
            <w:tcW w:w="10206" w:type="dxa"/>
            <w:gridSpan w:val="9"/>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jc w:val="center"/>
              <w:rPr>
                <w:rFonts w:ascii="Times New Roman" w:hAnsi="Times New Roman" w:cs="Times New Roman"/>
                <w:b/>
                <w:bCs/>
                <w:sz w:val="20"/>
                <w:szCs w:val="20"/>
              </w:rPr>
            </w:pPr>
            <w:r w:rsidRPr="009C2107">
              <w:rPr>
                <w:rFonts w:ascii="Times New Roman" w:hAnsi="Times New Roman" w:cs="Times New Roman"/>
                <w:b/>
                <w:bCs/>
                <w:color w:val="000000"/>
                <w:sz w:val="20"/>
                <w:szCs w:val="20"/>
              </w:rPr>
              <w:t>Month</w:t>
            </w:r>
          </w:p>
        </w:tc>
      </w:tr>
      <w:tr w:rsidR="009D57B8" w:rsidRPr="009C2107" w:rsidTr="00386A64">
        <w:trPr>
          <w:trHeight w:val="400"/>
          <w:jc w:val="center"/>
        </w:trPr>
        <w:tc>
          <w:tcPr>
            <w:tcW w:w="1135" w:type="dxa"/>
            <w:tcBorders>
              <w:top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January (ref.)</w:t>
            </w:r>
          </w:p>
        </w:tc>
        <w:tc>
          <w:tcPr>
            <w:tcW w:w="2268" w:type="dxa"/>
            <w:gridSpan w:val="2"/>
            <w:tcBorders>
              <w:top w:val="single" w:sz="4" w:space="0" w:color="auto"/>
              <w:lef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7"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February</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0.8772</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0.8345-0.9220</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0.8753</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0.8327-0.9201</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0.8754</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0.8328-0.9202</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0.8754</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0.8328-0.9202</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March</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0.9607</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0.9151-1.0085</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0.9415</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0.8953-0.9902</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0.9418</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0.8955-0.9904</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0.9440</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0.8978-0.9926</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April</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0.9974</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0.9506-1.0466</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0.9624</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0.9123-1.0152</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0.9628</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0.9128-1.0156</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0.9668</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0.9171-1.0193</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May</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0.9925</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0.9458-1.0415</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0.9342</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0.8777-0.9944</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0.9389</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0.8838-0.9975</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0.9366</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0.8793-0.9977</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June</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0.9950</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0.9481-1.0442</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0.9053</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0.8369-0.9792</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0.9117</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0.8457-0.9829</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0.9096</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0.8400-0.9849</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July</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1.0162</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0.9688-1.0660</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0.9015</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0.8223-0.9883</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0.9123</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0.8374-0.9939</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0.9036</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0.8212-0.9943</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August</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1.0413</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0.9930-1.0920</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0.9247</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0.8441-1.0130</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0.9343</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0.8575-1.0180</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0.9285</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0.8454-1.0198</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September</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0.9579</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0.9124-1.0057</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0.8657</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0.7973-0.9399</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0.8723</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0.8064-0.9436</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0.8700</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0.8003-0.9458</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October</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0.9821</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0.9355-1.0309</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0.9207</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0.8634-0.9819</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0.9246</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0.8684-0.9845</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0.9245</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0.8666-0.9861</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November</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0.8975</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0.8540-0.9431</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0.8739</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0.8292-0.9211</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0.8747</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0.8300-0.9217</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0.8763</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0.8316-0.9234</w:t>
            </w:r>
          </w:p>
        </w:tc>
      </w:tr>
      <w:tr w:rsidR="009D57B8" w:rsidRPr="009C2107" w:rsidTr="00386A64">
        <w:trPr>
          <w:jc w:val="center"/>
        </w:trPr>
        <w:tc>
          <w:tcPr>
            <w:tcW w:w="1135" w:type="dxa"/>
            <w:tcBorders>
              <w:bottom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December</w:t>
            </w:r>
          </w:p>
        </w:tc>
        <w:tc>
          <w:tcPr>
            <w:tcW w:w="850" w:type="dxa"/>
            <w:tcBorders>
              <w:left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0.8846</w:t>
            </w:r>
          </w:p>
        </w:tc>
        <w:tc>
          <w:tcPr>
            <w:tcW w:w="1418"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0.8418-0.9296</w:t>
            </w:r>
          </w:p>
        </w:tc>
        <w:tc>
          <w:tcPr>
            <w:tcW w:w="850"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0.8889</w:t>
            </w:r>
          </w:p>
        </w:tc>
        <w:tc>
          <w:tcPr>
            <w:tcW w:w="1417"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0.8458-0.9342</w:t>
            </w:r>
          </w:p>
        </w:tc>
        <w:tc>
          <w:tcPr>
            <w:tcW w:w="851"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0.8894</w:t>
            </w:r>
          </w:p>
        </w:tc>
        <w:tc>
          <w:tcPr>
            <w:tcW w:w="1417" w:type="dxa"/>
            <w:tcBorders>
              <w:bottom w:val="single" w:sz="4" w:space="0" w:color="auto"/>
            </w:tcBorders>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0.8463-0.9348</w:t>
            </w:r>
          </w:p>
        </w:tc>
        <w:tc>
          <w:tcPr>
            <w:tcW w:w="851"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0.8877</w:t>
            </w:r>
          </w:p>
        </w:tc>
        <w:tc>
          <w:tcPr>
            <w:tcW w:w="1417"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0.8446-0.9328</w:t>
            </w:r>
          </w:p>
        </w:tc>
      </w:tr>
      <w:tr w:rsidR="009D57B8" w:rsidRPr="009C2107" w:rsidTr="00386A64">
        <w:trPr>
          <w:jc w:val="center"/>
        </w:trPr>
        <w:tc>
          <w:tcPr>
            <w:tcW w:w="10206" w:type="dxa"/>
            <w:gridSpan w:val="9"/>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jc w:val="center"/>
              <w:rPr>
                <w:rFonts w:ascii="Times New Roman" w:hAnsi="Times New Roman" w:cs="Times New Roman"/>
                <w:b/>
                <w:bCs/>
                <w:sz w:val="20"/>
                <w:szCs w:val="20"/>
              </w:rPr>
            </w:pPr>
            <w:r w:rsidRPr="009C2107">
              <w:rPr>
                <w:rFonts w:ascii="Times New Roman" w:hAnsi="Times New Roman" w:cs="Times New Roman"/>
                <w:b/>
                <w:bCs/>
                <w:color w:val="000000"/>
                <w:sz w:val="20"/>
                <w:szCs w:val="20"/>
              </w:rPr>
              <w:t>Model Characteristics</w:t>
            </w:r>
          </w:p>
        </w:tc>
      </w:tr>
      <w:tr w:rsidR="009D57B8" w:rsidRPr="009C2107" w:rsidTr="00386A64">
        <w:trPr>
          <w:jc w:val="center"/>
        </w:trPr>
        <w:tc>
          <w:tcPr>
            <w:tcW w:w="1135" w:type="dxa"/>
            <w:tcBorders>
              <w:top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AIC</w:t>
            </w:r>
          </w:p>
        </w:tc>
        <w:tc>
          <w:tcPr>
            <w:tcW w:w="2268" w:type="dxa"/>
            <w:gridSpan w:val="2"/>
            <w:tcBorders>
              <w:top w:val="single" w:sz="4" w:space="0" w:color="auto"/>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7605.69</w:t>
            </w:r>
          </w:p>
        </w:tc>
        <w:tc>
          <w:tcPr>
            <w:tcW w:w="2267"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7598.56</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7598.69</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7599.77</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 Deviance Explained</w:t>
            </w:r>
          </w:p>
        </w:tc>
        <w:tc>
          <w:tcPr>
            <w:tcW w:w="2268" w:type="dxa"/>
            <w:gridSpan w:val="2"/>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51.62%</w:t>
            </w:r>
          </w:p>
        </w:tc>
        <w:tc>
          <w:tcPr>
            <w:tcW w:w="2267" w:type="dxa"/>
            <w:gridSpan w:val="2"/>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51.97%</w:t>
            </w:r>
          </w:p>
        </w:tc>
        <w:tc>
          <w:tcPr>
            <w:tcW w:w="2268" w:type="dxa"/>
            <w:gridSpan w:val="2"/>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51.97%</w:t>
            </w:r>
          </w:p>
        </w:tc>
        <w:tc>
          <w:tcPr>
            <w:tcW w:w="2268" w:type="dxa"/>
            <w:gridSpan w:val="2"/>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color w:val="000000"/>
                <w:sz w:val="20"/>
                <w:szCs w:val="20"/>
              </w:rPr>
            </w:pPr>
            <w:r w:rsidRPr="009C2107">
              <w:rPr>
                <w:rFonts w:ascii="Times New Roman" w:hAnsi="Times New Roman" w:cs="Times New Roman"/>
                <w:color w:val="000000"/>
                <w:sz w:val="20"/>
                <w:szCs w:val="20"/>
              </w:rPr>
              <w:t>51.93%</w:t>
            </w:r>
          </w:p>
        </w:tc>
      </w:tr>
    </w:tbl>
    <w:p w:rsidR="009D57B8" w:rsidRDefault="009D57B8" w:rsidP="009D57B8">
      <w:pPr>
        <w:widowControl w:val="0"/>
        <w:rPr>
          <w:rFonts w:ascii="Times New Roman" w:hAnsi="Times New Roman" w:cs="Times New Roman"/>
          <w:sz w:val="20"/>
          <w:szCs w:val="20"/>
        </w:rPr>
      </w:pPr>
      <w:r w:rsidRPr="009C2107">
        <w:rPr>
          <w:rFonts w:ascii="Times New Roman" w:hAnsi="Times New Roman" w:cs="Times New Roman"/>
          <w:color w:val="000000"/>
          <w:sz w:val="20"/>
          <w:szCs w:val="20"/>
        </w:rPr>
        <w:t>AIC: Akaike information criterion; CI: Confidence interval; IRR: Incidence rate ratio.</w:t>
      </w:r>
    </w:p>
    <w:p w:rsidR="009D57B8" w:rsidRDefault="009D57B8" w:rsidP="009D57B8">
      <w:pPr>
        <w:widowControl w:val="0"/>
        <w:rPr>
          <w:rFonts w:ascii="Times New Roman" w:hAnsi="Times New Roman" w:cs="Times New Roman"/>
          <w:sz w:val="20"/>
          <w:szCs w:val="20"/>
        </w:rPr>
      </w:pPr>
    </w:p>
    <w:p w:rsidR="009D57B8" w:rsidRDefault="009D57B8" w:rsidP="009D57B8">
      <w:pPr>
        <w:widowControl w:val="0"/>
        <w:rPr>
          <w:rFonts w:ascii="Times New Roman" w:hAnsi="Times New Roman" w:cs="Times New Roman"/>
          <w:sz w:val="20"/>
          <w:szCs w:val="20"/>
        </w:rPr>
      </w:pPr>
    </w:p>
    <w:p w:rsidR="009D57B8" w:rsidRDefault="009D57B8" w:rsidP="009D57B8">
      <w:pPr>
        <w:widowControl w:val="0"/>
        <w:rPr>
          <w:rFonts w:ascii="Times New Roman" w:hAnsi="Times New Roman" w:cs="Times New Roman"/>
          <w:sz w:val="20"/>
          <w:szCs w:val="20"/>
        </w:rPr>
      </w:pPr>
    </w:p>
    <w:p w:rsidR="009D57B8" w:rsidRDefault="009D57B8" w:rsidP="009D57B8">
      <w:pPr>
        <w:widowControl w:val="0"/>
        <w:rPr>
          <w:rFonts w:ascii="Times New Roman" w:hAnsi="Times New Roman" w:cs="Times New Roman"/>
          <w:sz w:val="20"/>
          <w:szCs w:val="20"/>
        </w:rPr>
      </w:pPr>
    </w:p>
    <w:p w:rsidR="009D57B8" w:rsidRPr="009C2107" w:rsidRDefault="009D57B8" w:rsidP="009D57B8">
      <w:pPr>
        <w:widowControl w:val="0"/>
        <w:rPr>
          <w:rFonts w:ascii="Times New Roman" w:hAnsi="Times New Roman" w:cs="Times New Roman"/>
          <w:sz w:val="20"/>
          <w:szCs w:val="20"/>
        </w:rPr>
      </w:pPr>
    </w:p>
    <w:p w:rsidR="009D57B8" w:rsidRPr="009C2107" w:rsidRDefault="009D57B8" w:rsidP="009D57B8">
      <w:pPr>
        <w:widowControl w:val="0"/>
        <w:rPr>
          <w:rFonts w:ascii="Times New Roman" w:hAnsi="Times New Roman" w:cs="Times New Roman"/>
          <w:sz w:val="20"/>
          <w:szCs w:val="20"/>
        </w:rPr>
      </w:pPr>
      <w:r w:rsidRPr="009C2107">
        <w:rPr>
          <w:rFonts w:ascii="Times New Roman" w:hAnsi="Times New Roman" w:cs="Times New Roman"/>
          <w:b/>
          <w:bCs/>
          <w:color w:val="000000"/>
          <w:sz w:val="20"/>
          <w:szCs w:val="20"/>
        </w:rPr>
        <w:lastRenderedPageBreak/>
        <w:t xml:space="preserve">Supplementary Table 2. </w:t>
      </w:r>
      <w:r w:rsidRPr="009C2107">
        <w:rPr>
          <w:rFonts w:ascii="Times New Roman" w:hAnsi="Times New Roman" w:cs="Times New Roman"/>
          <w:color w:val="000000"/>
          <w:sz w:val="20"/>
          <w:szCs w:val="20"/>
        </w:rPr>
        <w:t>Negative binomial model results for monthly suicide rate in five urban California counties (1999–2019) after imputation of suppressed counts.</w:t>
      </w:r>
    </w:p>
    <w:tbl>
      <w:tblPr>
        <w:tblW w:w="10206" w:type="dxa"/>
        <w:jc w:val="center"/>
        <w:tblLayout w:type="fixed"/>
        <w:tblCellMar>
          <w:top w:w="15" w:type="dxa"/>
          <w:left w:w="15" w:type="dxa"/>
          <w:bottom w:w="15" w:type="dxa"/>
          <w:right w:w="15" w:type="dxa"/>
        </w:tblCellMar>
        <w:tblLook w:val="04A0" w:firstRow="1" w:lastRow="0" w:firstColumn="1" w:lastColumn="0" w:noHBand="0" w:noVBand="1"/>
      </w:tblPr>
      <w:tblGrid>
        <w:gridCol w:w="1135"/>
        <w:gridCol w:w="850"/>
        <w:gridCol w:w="1418"/>
        <w:gridCol w:w="850"/>
        <w:gridCol w:w="1417"/>
        <w:gridCol w:w="851"/>
        <w:gridCol w:w="1417"/>
        <w:gridCol w:w="851"/>
        <w:gridCol w:w="1417"/>
      </w:tblGrid>
      <w:tr w:rsidR="009D57B8" w:rsidRPr="009C2107" w:rsidTr="00386A64">
        <w:trPr>
          <w:trHeight w:val="440"/>
          <w:jc w:val="center"/>
        </w:trPr>
        <w:tc>
          <w:tcPr>
            <w:tcW w:w="1135"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rPr>
                <w:rFonts w:ascii="Times New Roman" w:hAnsi="Times New Roman" w:cs="Times New Roman"/>
                <w:sz w:val="20"/>
                <w:szCs w:val="20"/>
              </w:rPr>
            </w:pPr>
          </w:p>
        </w:tc>
        <w:tc>
          <w:tcPr>
            <w:tcW w:w="2268" w:type="dxa"/>
            <w:gridSpan w:val="2"/>
            <w:tcBorders>
              <w:top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Baseline (Temperature Excluded)</w:t>
            </w:r>
          </w:p>
        </w:tc>
        <w:tc>
          <w:tcPr>
            <w:tcW w:w="2267" w:type="dxa"/>
            <w:gridSpan w:val="2"/>
            <w:tcBorders>
              <w:top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Average Temperature</w:t>
            </w:r>
          </w:p>
        </w:tc>
        <w:tc>
          <w:tcPr>
            <w:tcW w:w="2268" w:type="dxa"/>
            <w:gridSpan w:val="2"/>
            <w:tcBorders>
              <w:top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Maximum Temperature</w:t>
            </w:r>
          </w:p>
        </w:tc>
        <w:tc>
          <w:tcPr>
            <w:tcW w:w="2268" w:type="dxa"/>
            <w:gridSpan w:val="2"/>
            <w:tcBorders>
              <w:top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Minimum Temperature</w:t>
            </w:r>
          </w:p>
        </w:tc>
      </w:tr>
      <w:tr w:rsidR="009D57B8" w:rsidRPr="009C2107" w:rsidTr="00386A64">
        <w:trPr>
          <w:jc w:val="center"/>
        </w:trPr>
        <w:tc>
          <w:tcPr>
            <w:tcW w:w="1135"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rPr>
                <w:rFonts w:ascii="Times New Roman" w:hAnsi="Times New Roman" w:cs="Times New Roman"/>
                <w:sz w:val="20"/>
                <w:szCs w:val="20"/>
              </w:rPr>
            </w:pPr>
          </w:p>
        </w:tc>
        <w:tc>
          <w:tcPr>
            <w:tcW w:w="850"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IRR</w:t>
            </w:r>
          </w:p>
        </w:tc>
        <w:tc>
          <w:tcPr>
            <w:tcW w:w="1418"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95% CI</w:t>
            </w:r>
          </w:p>
        </w:tc>
        <w:tc>
          <w:tcPr>
            <w:tcW w:w="850"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IRR</w:t>
            </w:r>
          </w:p>
        </w:tc>
        <w:tc>
          <w:tcPr>
            <w:tcW w:w="1417"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95% CI</w:t>
            </w:r>
          </w:p>
        </w:tc>
        <w:tc>
          <w:tcPr>
            <w:tcW w:w="851"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IRR</w:t>
            </w:r>
          </w:p>
        </w:tc>
        <w:tc>
          <w:tcPr>
            <w:tcW w:w="1417"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95% CI</w:t>
            </w:r>
          </w:p>
        </w:tc>
        <w:tc>
          <w:tcPr>
            <w:tcW w:w="851"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IRR</w:t>
            </w:r>
          </w:p>
        </w:tc>
        <w:tc>
          <w:tcPr>
            <w:tcW w:w="1417" w:type="dxa"/>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95% CI</w:t>
            </w:r>
          </w:p>
        </w:tc>
      </w:tr>
      <w:tr w:rsidR="009D57B8" w:rsidRPr="009C2107" w:rsidTr="00386A64">
        <w:trPr>
          <w:jc w:val="center"/>
        </w:trPr>
        <w:tc>
          <w:tcPr>
            <w:tcW w:w="10206" w:type="dxa"/>
            <w:gridSpan w:val="9"/>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jc w:val="center"/>
              <w:rPr>
                <w:rFonts w:ascii="Times New Roman" w:hAnsi="Times New Roman" w:cs="Times New Roman"/>
                <w:b/>
                <w:bCs/>
                <w:sz w:val="20"/>
                <w:szCs w:val="20"/>
              </w:rPr>
            </w:pPr>
            <w:r w:rsidRPr="009C2107">
              <w:rPr>
                <w:rFonts w:ascii="Times New Roman" w:hAnsi="Times New Roman" w:cs="Times New Roman"/>
                <w:b/>
                <w:bCs/>
                <w:color w:val="000000"/>
                <w:sz w:val="20"/>
                <w:szCs w:val="20"/>
              </w:rPr>
              <w:t>Temperature</w:t>
            </w:r>
          </w:p>
        </w:tc>
      </w:tr>
      <w:tr w:rsidR="009D57B8" w:rsidRPr="009C2107" w:rsidTr="00386A64">
        <w:trPr>
          <w:trHeight w:val="440"/>
          <w:jc w:val="center"/>
        </w:trPr>
        <w:tc>
          <w:tcPr>
            <w:tcW w:w="1135" w:type="dxa"/>
            <w:tcBorders>
              <w:top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Average</w:t>
            </w:r>
          </w:p>
        </w:tc>
        <w:tc>
          <w:tcPr>
            <w:tcW w:w="2268" w:type="dxa"/>
            <w:gridSpan w:val="2"/>
            <w:tcBorders>
              <w:top w:val="single" w:sz="4" w:space="0" w:color="auto"/>
              <w:lef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850" w:type="dxa"/>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1.0084</w:t>
            </w:r>
          </w:p>
        </w:tc>
        <w:tc>
          <w:tcPr>
            <w:tcW w:w="1417" w:type="dxa"/>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1.0026-1.0142</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r>
      <w:tr w:rsidR="009D57B8" w:rsidRPr="009C2107" w:rsidTr="00386A64">
        <w:trPr>
          <w:trHeight w:val="400"/>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Maximum</w:t>
            </w:r>
          </w:p>
        </w:tc>
        <w:tc>
          <w:tcPr>
            <w:tcW w:w="2268" w:type="dxa"/>
            <w:gridSpan w:val="2"/>
            <w:tcBorders>
              <w:lef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7" w:type="dxa"/>
            <w:gridSpan w:val="2"/>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color w:val="000000"/>
                <w:sz w:val="20"/>
                <w:szCs w:val="20"/>
              </w:rPr>
            </w:pPr>
            <w:r w:rsidRPr="009C2107">
              <w:rPr>
                <w:rFonts w:ascii="Times New Roman" w:hAnsi="Times New Roman" w:cs="Times New Roman"/>
                <w:color w:val="000000"/>
                <w:sz w:val="20"/>
                <w:szCs w:val="20"/>
              </w:rPr>
              <w:t>1.0072</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1.0023-1.0121</w:t>
            </w:r>
          </w:p>
        </w:tc>
        <w:tc>
          <w:tcPr>
            <w:tcW w:w="2268" w:type="dxa"/>
            <w:gridSpan w:val="2"/>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r>
      <w:tr w:rsidR="009D57B8" w:rsidRPr="009C2107" w:rsidTr="00386A64">
        <w:trPr>
          <w:trHeight w:val="400"/>
          <w:jc w:val="center"/>
        </w:trPr>
        <w:tc>
          <w:tcPr>
            <w:tcW w:w="1135" w:type="dxa"/>
            <w:tcBorders>
              <w:bottom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Minimum</w:t>
            </w:r>
          </w:p>
        </w:tc>
        <w:tc>
          <w:tcPr>
            <w:tcW w:w="2268" w:type="dxa"/>
            <w:gridSpan w:val="2"/>
            <w:tcBorders>
              <w:left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7" w:type="dxa"/>
            <w:gridSpan w:val="2"/>
            <w:tcBorders>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8" w:type="dxa"/>
            <w:gridSpan w:val="2"/>
            <w:tcBorders>
              <w:bottom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851"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color w:val="000000"/>
                <w:sz w:val="20"/>
                <w:szCs w:val="20"/>
              </w:rPr>
            </w:pPr>
            <w:r w:rsidRPr="009C2107">
              <w:rPr>
                <w:rFonts w:ascii="Times New Roman" w:hAnsi="Times New Roman" w:cs="Times New Roman"/>
                <w:color w:val="000000"/>
                <w:sz w:val="20"/>
                <w:szCs w:val="20"/>
              </w:rPr>
              <w:t>1.0086</w:t>
            </w:r>
          </w:p>
        </w:tc>
        <w:tc>
          <w:tcPr>
            <w:tcW w:w="1417"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1.0020-1.0153</w:t>
            </w:r>
          </w:p>
        </w:tc>
      </w:tr>
      <w:tr w:rsidR="009D57B8" w:rsidRPr="009C2107" w:rsidTr="00386A64">
        <w:trPr>
          <w:jc w:val="center"/>
        </w:trPr>
        <w:tc>
          <w:tcPr>
            <w:tcW w:w="10206" w:type="dxa"/>
            <w:gridSpan w:val="9"/>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jc w:val="center"/>
              <w:rPr>
                <w:rFonts w:ascii="Times New Roman" w:hAnsi="Times New Roman" w:cs="Times New Roman"/>
                <w:b/>
                <w:bCs/>
                <w:sz w:val="20"/>
                <w:szCs w:val="20"/>
              </w:rPr>
            </w:pPr>
            <w:r w:rsidRPr="009C2107">
              <w:rPr>
                <w:rFonts w:ascii="Times New Roman" w:hAnsi="Times New Roman" w:cs="Times New Roman"/>
                <w:b/>
                <w:bCs/>
                <w:color w:val="000000"/>
                <w:sz w:val="20"/>
                <w:szCs w:val="20"/>
              </w:rPr>
              <w:t>Month</w:t>
            </w:r>
          </w:p>
        </w:tc>
      </w:tr>
      <w:tr w:rsidR="009D57B8" w:rsidRPr="009C2107" w:rsidTr="00386A64">
        <w:trPr>
          <w:trHeight w:val="400"/>
          <w:jc w:val="center"/>
        </w:trPr>
        <w:tc>
          <w:tcPr>
            <w:tcW w:w="1135" w:type="dxa"/>
            <w:tcBorders>
              <w:top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January (ref.)</w:t>
            </w:r>
          </w:p>
        </w:tc>
        <w:tc>
          <w:tcPr>
            <w:tcW w:w="2268" w:type="dxa"/>
            <w:gridSpan w:val="2"/>
            <w:tcBorders>
              <w:top w:val="single" w:sz="4" w:space="0" w:color="auto"/>
              <w:lef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7"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sz w:val="20"/>
                <w:szCs w:val="20"/>
              </w:rPr>
            </w:pPr>
            <w:r w:rsidRPr="009C2107">
              <w:rPr>
                <w:color w:val="000000"/>
                <w:sz w:val="20"/>
                <w:szCs w:val="20"/>
              </w:rPr>
              <w:t>-</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February</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0.8666</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0.8209-0.9149</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0.8649</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0.8194-0.9129</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0.8651</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0.8195-0.9131</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0.8650</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0.8194-0.9131</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March</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0.9538</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0.9045-1.0058</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0.9345</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0.8847-0.9870</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0.9343</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0.8846-0.9869</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0.9373</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0.8876-0.9899</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April</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0.9949</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0.9439-1.0486</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0.9594</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0.9053-1.0168</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0.9593</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0.9052-1.0165</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0.9646</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0.9107-1.0217</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May</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0.9849</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0.9343-1.0382</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0.9260</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0.8654-0.9908</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0.9296</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0.8705-0.9927</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0.9297</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0.8681-0.9957</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June</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0.9841</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0.9336-1.0374</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0.8944</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0.8219-0.9732</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0.8992</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0.8292-0.9750</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0.9007</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0.8268-0.9813</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July</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1.0149</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0.9631-1.0695</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0.8994</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0.8150-0.9925</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0.9083</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0.8285-0.9958</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0.9041</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0.8160-1.0017</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August</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1.0418</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0.9889-1.0975</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0.9241</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0.8381-1.0190</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0.9319</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0.8499-1.0217</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0.9305</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0.8414-1.0290</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September</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0.9488</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0.8997-1.0006</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0.8566</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0.7842-0.9357</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0.8616</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0.7919-0.9375</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0.8629</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0.7888-0.9439</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October</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0.9651</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0.9153-1.0176</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0.9045</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0.8440-0.9693</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0.9073</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0.8481-0.9707</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0.9094</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0.8482-0.9749</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November</w:t>
            </w:r>
          </w:p>
        </w:tc>
        <w:tc>
          <w:tcPr>
            <w:tcW w:w="850" w:type="dxa"/>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0.8886</w:t>
            </w:r>
          </w:p>
        </w:tc>
        <w:tc>
          <w:tcPr>
            <w:tcW w:w="1418"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0.8420-0.9378</w:t>
            </w:r>
          </w:p>
        </w:tc>
        <w:tc>
          <w:tcPr>
            <w:tcW w:w="850"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0.8654</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0.8176-0.9159</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0.8657</w:t>
            </w:r>
          </w:p>
        </w:tc>
        <w:tc>
          <w:tcPr>
            <w:tcW w:w="1417" w:type="dxa"/>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0.8180-0.9161</w:t>
            </w:r>
          </w:p>
        </w:tc>
        <w:tc>
          <w:tcPr>
            <w:tcW w:w="851"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0.8682</w:t>
            </w:r>
          </w:p>
        </w:tc>
        <w:tc>
          <w:tcPr>
            <w:tcW w:w="1417" w:type="dxa"/>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0.8204-0.9188</w:t>
            </w:r>
          </w:p>
        </w:tc>
      </w:tr>
      <w:tr w:rsidR="009D57B8" w:rsidRPr="009C2107" w:rsidTr="00386A64">
        <w:trPr>
          <w:jc w:val="center"/>
        </w:trPr>
        <w:tc>
          <w:tcPr>
            <w:tcW w:w="1135" w:type="dxa"/>
            <w:tcBorders>
              <w:bottom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December</w:t>
            </w:r>
          </w:p>
        </w:tc>
        <w:tc>
          <w:tcPr>
            <w:tcW w:w="850" w:type="dxa"/>
            <w:tcBorders>
              <w:left w:val="single" w:sz="4" w:space="0" w:color="auto"/>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0.8837</w:t>
            </w:r>
          </w:p>
        </w:tc>
        <w:tc>
          <w:tcPr>
            <w:tcW w:w="1418"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0.8373-0.9327</w:t>
            </w:r>
          </w:p>
        </w:tc>
        <w:tc>
          <w:tcPr>
            <w:tcW w:w="850"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0.8880</w:t>
            </w:r>
          </w:p>
        </w:tc>
        <w:tc>
          <w:tcPr>
            <w:tcW w:w="1417"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0.8414-0.9372</w:t>
            </w:r>
          </w:p>
        </w:tc>
        <w:tc>
          <w:tcPr>
            <w:tcW w:w="851"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0.8887</w:t>
            </w:r>
          </w:p>
        </w:tc>
        <w:tc>
          <w:tcPr>
            <w:tcW w:w="1417" w:type="dxa"/>
            <w:tcBorders>
              <w:bottom w:val="single" w:sz="4" w:space="0" w:color="auto"/>
            </w:tcBorders>
            <w:tcMar>
              <w:top w:w="100" w:type="dxa"/>
              <w:left w:w="100" w:type="dxa"/>
              <w:bottom w:w="100" w:type="dxa"/>
              <w:right w:w="100" w:type="dxa"/>
            </w:tcMar>
            <w:vAlign w:val="center"/>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0.8420-0.9379</w:t>
            </w:r>
          </w:p>
        </w:tc>
        <w:tc>
          <w:tcPr>
            <w:tcW w:w="851"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0.8866</w:t>
            </w:r>
          </w:p>
        </w:tc>
        <w:tc>
          <w:tcPr>
            <w:tcW w:w="1417" w:type="dxa"/>
            <w:tcBorders>
              <w:bottom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0.8401-0.9357</w:t>
            </w:r>
          </w:p>
        </w:tc>
      </w:tr>
      <w:tr w:rsidR="009D57B8" w:rsidRPr="009C2107" w:rsidTr="00386A64">
        <w:trPr>
          <w:jc w:val="center"/>
        </w:trPr>
        <w:tc>
          <w:tcPr>
            <w:tcW w:w="10206" w:type="dxa"/>
            <w:gridSpan w:val="9"/>
            <w:tcBorders>
              <w:top w:val="single" w:sz="4" w:space="0" w:color="auto"/>
              <w:bottom w:val="single" w:sz="4" w:space="0" w:color="auto"/>
            </w:tcBorders>
            <w:tcMar>
              <w:top w:w="100" w:type="dxa"/>
              <w:left w:w="100" w:type="dxa"/>
              <w:bottom w:w="100" w:type="dxa"/>
              <w:right w:w="100" w:type="dxa"/>
            </w:tcMar>
            <w:hideMark/>
          </w:tcPr>
          <w:p w:rsidR="009D57B8" w:rsidRPr="009C2107" w:rsidRDefault="009D57B8" w:rsidP="00386A64">
            <w:pPr>
              <w:widowControl w:val="0"/>
              <w:jc w:val="center"/>
              <w:rPr>
                <w:rFonts w:ascii="Times New Roman" w:hAnsi="Times New Roman" w:cs="Times New Roman"/>
                <w:b/>
                <w:bCs/>
                <w:sz w:val="20"/>
                <w:szCs w:val="20"/>
              </w:rPr>
            </w:pPr>
            <w:r w:rsidRPr="009C2107">
              <w:rPr>
                <w:rFonts w:ascii="Times New Roman" w:hAnsi="Times New Roman" w:cs="Times New Roman"/>
                <w:b/>
                <w:bCs/>
                <w:color w:val="000000"/>
                <w:sz w:val="20"/>
                <w:szCs w:val="20"/>
              </w:rPr>
              <w:t>Model Characteristics</w:t>
            </w:r>
          </w:p>
        </w:tc>
      </w:tr>
      <w:tr w:rsidR="009D57B8" w:rsidRPr="009C2107" w:rsidTr="00386A64">
        <w:trPr>
          <w:jc w:val="center"/>
        </w:trPr>
        <w:tc>
          <w:tcPr>
            <w:tcW w:w="1135" w:type="dxa"/>
            <w:tcBorders>
              <w:top w:val="single" w:sz="4" w:space="0" w:color="auto"/>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AIC</w:t>
            </w:r>
          </w:p>
        </w:tc>
        <w:tc>
          <w:tcPr>
            <w:tcW w:w="2268" w:type="dxa"/>
            <w:gridSpan w:val="2"/>
            <w:tcBorders>
              <w:top w:val="single" w:sz="4" w:space="0" w:color="auto"/>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7924.96</w:t>
            </w:r>
          </w:p>
        </w:tc>
        <w:tc>
          <w:tcPr>
            <w:tcW w:w="2267"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7919.00</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7918.77</w:t>
            </w:r>
          </w:p>
        </w:tc>
        <w:tc>
          <w:tcPr>
            <w:tcW w:w="2268" w:type="dxa"/>
            <w:gridSpan w:val="2"/>
            <w:tcBorders>
              <w:top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7920.44</w:t>
            </w:r>
          </w:p>
        </w:tc>
      </w:tr>
      <w:tr w:rsidR="009D57B8" w:rsidRPr="009C2107" w:rsidTr="00386A64">
        <w:trPr>
          <w:jc w:val="center"/>
        </w:trPr>
        <w:tc>
          <w:tcPr>
            <w:tcW w:w="1135" w:type="dxa"/>
            <w:tcBorders>
              <w:right w:val="single" w:sz="4" w:space="0" w:color="auto"/>
            </w:tcBorders>
            <w:tcMar>
              <w:top w:w="100" w:type="dxa"/>
              <w:left w:w="100" w:type="dxa"/>
              <w:bottom w:w="100" w:type="dxa"/>
              <w:right w:w="100" w:type="dxa"/>
            </w:tcMar>
            <w:vAlign w:val="center"/>
            <w:hideMark/>
          </w:tcPr>
          <w:p w:rsidR="009D57B8" w:rsidRPr="009C2107" w:rsidRDefault="009D57B8" w:rsidP="00386A64">
            <w:pPr>
              <w:pStyle w:val="NormalWeb"/>
              <w:widowControl w:val="0"/>
              <w:spacing w:before="0" w:beforeAutospacing="0" w:after="0" w:afterAutospacing="0"/>
              <w:jc w:val="center"/>
              <w:rPr>
                <w:b/>
                <w:bCs/>
                <w:sz w:val="20"/>
                <w:szCs w:val="20"/>
              </w:rPr>
            </w:pPr>
            <w:r w:rsidRPr="009C2107">
              <w:rPr>
                <w:b/>
                <w:bCs/>
                <w:color w:val="000000"/>
                <w:sz w:val="20"/>
                <w:szCs w:val="20"/>
              </w:rPr>
              <w:t>% Deviance Explained</w:t>
            </w:r>
          </w:p>
        </w:tc>
        <w:tc>
          <w:tcPr>
            <w:tcW w:w="2268" w:type="dxa"/>
            <w:gridSpan w:val="2"/>
            <w:tcBorders>
              <w:left w:val="single" w:sz="4" w:space="0" w:color="auto"/>
            </w:tcBorders>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46.43%</w:t>
            </w:r>
          </w:p>
        </w:tc>
        <w:tc>
          <w:tcPr>
            <w:tcW w:w="2267" w:type="dxa"/>
            <w:gridSpan w:val="2"/>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46.80%</w:t>
            </w:r>
          </w:p>
        </w:tc>
        <w:tc>
          <w:tcPr>
            <w:tcW w:w="2268" w:type="dxa"/>
            <w:gridSpan w:val="2"/>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sz w:val="20"/>
                <w:szCs w:val="20"/>
              </w:rPr>
            </w:pPr>
            <w:r w:rsidRPr="009C2107">
              <w:rPr>
                <w:rFonts w:ascii="Times New Roman" w:hAnsi="Times New Roman" w:cs="Times New Roman"/>
                <w:color w:val="000000"/>
                <w:sz w:val="20"/>
                <w:szCs w:val="20"/>
              </w:rPr>
              <w:t>46.81%</w:t>
            </w:r>
          </w:p>
        </w:tc>
        <w:tc>
          <w:tcPr>
            <w:tcW w:w="2268" w:type="dxa"/>
            <w:gridSpan w:val="2"/>
            <w:tcMar>
              <w:top w:w="100" w:type="dxa"/>
              <w:left w:w="100" w:type="dxa"/>
              <w:bottom w:w="100" w:type="dxa"/>
              <w:right w:w="100" w:type="dxa"/>
            </w:tcMar>
            <w:vAlign w:val="center"/>
            <w:hideMark/>
          </w:tcPr>
          <w:p w:rsidR="009D57B8" w:rsidRPr="009C2107" w:rsidRDefault="009D57B8" w:rsidP="00386A64">
            <w:pPr>
              <w:widowControl w:val="0"/>
              <w:jc w:val="center"/>
              <w:rPr>
                <w:rFonts w:ascii="Times New Roman" w:hAnsi="Times New Roman" w:cs="Times New Roman"/>
                <w:color w:val="000000"/>
                <w:sz w:val="20"/>
                <w:szCs w:val="20"/>
              </w:rPr>
            </w:pPr>
            <w:r w:rsidRPr="009C2107">
              <w:rPr>
                <w:rFonts w:ascii="Times New Roman" w:hAnsi="Times New Roman" w:cs="Times New Roman"/>
                <w:color w:val="000000"/>
                <w:sz w:val="20"/>
                <w:szCs w:val="20"/>
              </w:rPr>
              <w:t>46.73%</w:t>
            </w:r>
          </w:p>
        </w:tc>
      </w:tr>
    </w:tbl>
    <w:p w:rsidR="009D57B8" w:rsidRPr="009C2107" w:rsidRDefault="009D57B8" w:rsidP="009D57B8">
      <w:pPr>
        <w:widowControl w:val="0"/>
        <w:rPr>
          <w:rFonts w:ascii="Times New Roman" w:hAnsi="Times New Roman" w:cs="Times New Roman"/>
          <w:sz w:val="20"/>
          <w:szCs w:val="20"/>
        </w:rPr>
      </w:pPr>
      <w:r w:rsidRPr="009C2107">
        <w:rPr>
          <w:rFonts w:ascii="Times New Roman" w:hAnsi="Times New Roman" w:cs="Times New Roman"/>
          <w:color w:val="000000"/>
          <w:sz w:val="20"/>
          <w:szCs w:val="20"/>
        </w:rPr>
        <w:t>AIC: Akaike information criterion; CI: Confidence interval; IRR: Incidence rate ratio.</w:t>
      </w:r>
    </w:p>
    <w:p w:rsidR="009D57B8" w:rsidRDefault="009D57B8" w:rsidP="009D57B8">
      <w:pPr>
        <w:widowControl w:val="0"/>
        <w:spacing w:before="240" w:after="240"/>
        <w:rPr>
          <w:rFonts w:ascii="Times New Roman" w:eastAsia="Times New Roman" w:hAnsi="Times New Roman" w:cs="Times New Roman"/>
          <w:b/>
          <w:sz w:val="24"/>
          <w:szCs w:val="24"/>
        </w:rPr>
        <w:sectPr w:rsidR="009D57B8" w:rsidSect="00A938A5">
          <w:pgSz w:w="11909" w:h="16834"/>
          <w:pgMar w:top="1440" w:right="1440" w:bottom="1440" w:left="1440" w:header="720" w:footer="720" w:gutter="0"/>
          <w:cols w:space="720"/>
          <w:docGrid w:linePitch="299"/>
        </w:sectPr>
      </w:pPr>
    </w:p>
    <w:p w:rsidR="009D57B8" w:rsidRDefault="009D57B8" w:rsidP="009D57B8">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Supplementary Figure 1.</w:t>
      </w:r>
      <w:r>
        <w:rPr>
          <w:rFonts w:ascii="Times New Roman" w:eastAsia="Times New Roman" w:hAnsi="Times New Roman" w:cs="Times New Roman"/>
          <w:sz w:val="24"/>
          <w:szCs w:val="24"/>
        </w:rPr>
        <w:t xml:space="preserve"> Quartile-quartile plots for the negative binomial models of monthly suicide rate. The straight line shows the expected distribution of the residuals.</w:t>
      </w:r>
    </w:p>
    <w:p w:rsidR="009D57B8" w:rsidRDefault="009D57B8" w:rsidP="009D57B8">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4F12C310" wp14:editId="1DD22710">
            <wp:extent cx="5733415" cy="6870700"/>
            <wp:effectExtent l="0" t="0" r="635" b="635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3415" cy="6870700"/>
                    </a:xfrm>
                    <a:prstGeom prst="rect">
                      <a:avLst/>
                    </a:prstGeom>
                  </pic:spPr>
                </pic:pic>
              </a:graphicData>
            </a:graphic>
          </wp:inline>
        </w:drawing>
      </w:r>
    </w:p>
    <w:p w:rsidR="009D57B8" w:rsidRDefault="009D57B8" w:rsidP="009D57B8">
      <w:pPr>
        <w:widowControl w:val="0"/>
        <w:spacing w:before="240" w:after="240"/>
        <w:rPr>
          <w:rFonts w:ascii="Times New Roman" w:eastAsia="Times New Roman" w:hAnsi="Times New Roman" w:cs="Times New Roman"/>
          <w:b/>
          <w:sz w:val="24"/>
          <w:szCs w:val="24"/>
        </w:rPr>
      </w:pPr>
      <w:r>
        <w:br w:type="page"/>
      </w:r>
    </w:p>
    <w:p w:rsidR="009D57B8" w:rsidRDefault="009D57B8" w:rsidP="009D57B8">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Supplementary Figure 2. </w:t>
      </w:r>
      <w:r>
        <w:rPr>
          <w:rFonts w:ascii="Times New Roman" w:eastAsia="Times New Roman" w:hAnsi="Times New Roman" w:cs="Times New Roman"/>
          <w:sz w:val="24"/>
          <w:szCs w:val="24"/>
        </w:rPr>
        <w:t>Autocorrelation plots by county of the response residuals from the negative binomial model of the relationship between average monthly temperature and monthly deaths by suicide in five urban California counties (1999–2019). The blue dashed lines indicate lags at which the autocorrelation is statistically significantly different from 0.</w:t>
      </w:r>
    </w:p>
    <w:p w:rsidR="009D57B8" w:rsidRDefault="009D57B8" w:rsidP="009D57B8">
      <w:pPr>
        <w:widowControl w:val="0"/>
        <w:spacing w:before="240" w:after="240"/>
      </w:pPr>
      <w:r>
        <w:rPr>
          <w:rFonts w:ascii="Times New Roman" w:eastAsia="Times New Roman" w:hAnsi="Times New Roman" w:cs="Times New Roman"/>
          <w:b/>
          <w:noProof/>
          <w:sz w:val="24"/>
          <w:szCs w:val="24"/>
          <w:lang w:val="en-US" w:eastAsia="en-US"/>
        </w:rPr>
        <w:drawing>
          <wp:inline distT="114300" distB="114300" distL="114300" distR="114300" wp14:anchorId="22315A05" wp14:editId="5A57370D">
            <wp:extent cx="5731200" cy="68707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31200" cy="6870700"/>
                    </a:xfrm>
                    <a:prstGeom prst="rect">
                      <a:avLst/>
                    </a:prstGeom>
                    <a:ln/>
                  </pic:spPr>
                </pic:pic>
              </a:graphicData>
            </a:graphic>
          </wp:inline>
        </w:drawing>
      </w:r>
    </w:p>
    <w:p w:rsidR="009D57B8" w:rsidRDefault="009D57B8" w:rsidP="009D57B8">
      <w:pPr>
        <w:widowControl w:val="0"/>
        <w:spacing w:before="240" w:after="240"/>
      </w:pPr>
    </w:p>
    <w:p w:rsidR="00AF3112" w:rsidRDefault="00AF3112">
      <w:bookmarkStart w:id="0" w:name="_GoBack"/>
      <w:bookmarkEnd w:id="0"/>
    </w:p>
    <w:sectPr w:rsidR="00AF3112" w:rsidSect="00A938A5">
      <w:headerReference w:type="default" r:id="rId7"/>
      <w:pgSz w:w="11909" w:h="16834"/>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6D" w:rsidRDefault="009D57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B8"/>
    <w:rsid w:val="000111BF"/>
    <w:rsid w:val="009D57B8"/>
    <w:rsid w:val="00AF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B8"/>
    <w:pPr>
      <w:spacing w:after="0"/>
    </w:pPr>
    <w:rPr>
      <w:rFonts w:ascii="Arial" w:eastAsia="Arial" w:hAnsi="Arial" w:cs="Arial"/>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B8"/>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paragraph" w:styleId="BalloonText">
    <w:name w:val="Balloon Text"/>
    <w:basedOn w:val="Normal"/>
    <w:link w:val="BalloonTextChar"/>
    <w:uiPriority w:val="99"/>
    <w:semiHidden/>
    <w:unhideWhenUsed/>
    <w:rsid w:val="009D57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B8"/>
    <w:rPr>
      <w:rFonts w:ascii="Tahoma" w:eastAsia="Arial" w:hAnsi="Tahoma" w:cs="Tahoma"/>
      <w:sz w:val="16"/>
      <w:szCs w:val="16"/>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B8"/>
    <w:pPr>
      <w:spacing w:after="0"/>
    </w:pPr>
    <w:rPr>
      <w:rFonts w:ascii="Arial" w:eastAsia="Arial" w:hAnsi="Arial" w:cs="Arial"/>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B8"/>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paragraph" w:styleId="BalloonText">
    <w:name w:val="Balloon Text"/>
    <w:basedOn w:val="Normal"/>
    <w:link w:val="BalloonTextChar"/>
    <w:uiPriority w:val="99"/>
    <w:semiHidden/>
    <w:unhideWhenUsed/>
    <w:rsid w:val="009D57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B8"/>
    <w:rPr>
      <w:rFonts w:ascii="Tahoma" w:eastAsia="Arial" w:hAnsi="Tahoma" w:cs="Tahoma"/>
      <w:sz w:val="16"/>
      <w:szCs w:val="16"/>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3297</Characters>
  <Application>Microsoft Office Word</Application>
  <DocSecurity>0</DocSecurity>
  <Lines>117</Lines>
  <Paragraphs>89</Paragraphs>
  <ScaleCrop>false</ScaleCrop>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CCERINO</dc:creator>
  <cp:lastModifiedBy>CCERINO</cp:lastModifiedBy>
  <cp:revision>1</cp:revision>
  <dcterms:created xsi:type="dcterms:W3CDTF">2021-05-18T02:29:00Z</dcterms:created>
  <dcterms:modified xsi:type="dcterms:W3CDTF">2021-05-18T02:29:00Z</dcterms:modified>
</cp:coreProperties>
</file>