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478B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  <w:r w:rsidRPr="000B4F32">
        <w:rPr>
          <w:rFonts w:cs="Times New Roman"/>
          <w:b/>
          <w:bCs/>
          <w:color w:val="000000" w:themeColor="text1"/>
          <w:szCs w:val="24"/>
        </w:rPr>
        <w:t xml:space="preserve">Appendix 1 </w:t>
      </w:r>
    </w:p>
    <w:p w14:paraId="56596C4D" w14:textId="77777777" w:rsidR="003F022E" w:rsidRPr="000B4F32" w:rsidRDefault="003F022E" w:rsidP="003F022E">
      <w:pPr>
        <w:pStyle w:val="CommentText"/>
        <w:rPr>
          <w:color w:val="000000" w:themeColor="text1"/>
          <w:sz w:val="24"/>
          <w:szCs w:val="24"/>
        </w:rPr>
      </w:pPr>
      <w:r w:rsidRPr="000B4F32">
        <w:rPr>
          <w:color w:val="000000" w:themeColor="text1"/>
          <w:sz w:val="24"/>
          <w:szCs w:val="24"/>
        </w:rPr>
        <w:t>Documents targeted for the review consisted of past and current TB policy statements and guidelines at provincial (</w:t>
      </w:r>
      <w:r>
        <w:rPr>
          <w:color w:val="000000" w:themeColor="text1"/>
          <w:sz w:val="24"/>
          <w:szCs w:val="24"/>
        </w:rPr>
        <w:t>Alberta</w:t>
      </w:r>
      <w:r w:rsidRPr="000B4F32">
        <w:rPr>
          <w:color w:val="000000" w:themeColor="text1"/>
          <w:sz w:val="24"/>
          <w:szCs w:val="24"/>
        </w:rPr>
        <w:t xml:space="preserve"> and </w:t>
      </w:r>
      <w:r>
        <w:rPr>
          <w:color w:val="000000" w:themeColor="text1"/>
          <w:sz w:val="24"/>
          <w:szCs w:val="24"/>
        </w:rPr>
        <w:t>Saskatchewan</w:t>
      </w:r>
      <w:r w:rsidRPr="000B4F32">
        <w:rPr>
          <w:color w:val="000000" w:themeColor="text1"/>
          <w:sz w:val="24"/>
          <w:szCs w:val="24"/>
        </w:rPr>
        <w:t xml:space="preserve">), national and global scales. Provincial TB Strategy and Training documents were obtained from the </w:t>
      </w:r>
      <w:r>
        <w:rPr>
          <w:color w:val="000000" w:themeColor="text1"/>
          <w:sz w:val="24"/>
          <w:szCs w:val="24"/>
        </w:rPr>
        <w:t>Saskatchewan</w:t>
      </w:r>
      <w:r w:rsidRPr="000B4F32">
        <w:rPr>
          <w:color w:val="000000" w:themeColor="text1"/>
          <w:sz w:val="24"/>
          <w:szCs w:val="24"/>
        </w:rPr>
        <w:t xml:space="preserve"> government website under its </w:t>
      </w:r>
      <w:r>
        <w:rPr>
          <w:color w:val="000000" w:themeColor="text1"/>
          <w:sz w:val="24"/>
          <w:szCs w:val="24"/>
        </w:rPr>
        <w:t>Saskatchewan</w:t>
      </w:r>
      <w:r w:rsidRPr="000B4F32">
        <w:rPr>
          <w:color w:val="000000" w:themeColor="text1"/>
          <w:sz w:val="24"/>
          <w:szCs w:val="24"/>
        </w:rPr>
        <w:t xml:space="preserve"> Health Initiatives and from the </w:t>
      </w:r>
      <w:r>
        <w:rPr>
          <w:color w:val="000000" w:themeColor="text1"/>
          <w:sz w:val="24"/>
          <w:szCs w:val="24"/>
        </w:rPr>
        <w:t>Alberta</w:t>
      </w:r>
      <w:r w:rsidRPr="000B4F32">
        <w:rPr>
          <w:color w:val="000000" w:themeColor="text1"/>
          <w:sz w:val="24"/>
          <w:szCs w:val="24"/>
        </w:rPr>
        <w:t xml:space="preserve"> website from its Open Government Program. Currently, the </w:t>
      </w:r>
      <w:r>
        <w:rPr>
          <w:color w:val="000000" w:themeColor="text1"/>
          <w:sz w:val="24"/>
          <w:szCs w:val="24"/>
        </w:rPr>
        <w:t>Saskatchewan</w:t>
      </w:r>
      <w:r w:rsidRPr="000B4F32">
        <w:rPr>
          <w:color w:val="000000" w:themeColor="text1"/>
          <w:sz w:val="24"/>
          <w:szCs w:val="24"/>
        </w:rPr>
        <w:t xml:space="preserve"> TB program is undergoing major changes, and therefore a complete up-to-date list of guidelines is not available. TB referral forms are not open access and were provided upon requested by TB Control </w:t>
      </w:r>
      <w:r>
        <w:rPr>
          <w:color w:val="000000" w:themeColor="text1"/>
          <w:sz w:val="24"/>
          <w:szCs w:val="24"/>
        </w:rPr>
        <w:t>Saskatchewan</w:t>
      </w:r>
      <w:r w:rsidRPr="000B4F32">
        <w:rPr>
          <w:color w:val="000000" w:themeColor="text1"/>
          <w:sz w:val="24"/>
          <w:szCs w:val="24"/>
        </w:rPr>
        <w:t>. National and provincial documents pertaining to Indigenous populations were obtained from the Government of Canada websites and portals.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3147"/>
        <w:gridCol w:w="4533"/>
      </w:tblGrid>
      <w:tr w:rsidR="003F022E" w:rsidRPr="000B4F32" w14:paraId="7823C406" w14:textId="77777777" w:rsidTr="0015011F">
        <w:tc>
          <w:tcPr>
            <w:tcW w:w="1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9C976C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147" w:type="dxa"/>
            <w:shd w:val="clear" w:color="auto" w:fill="BDD6EE" w:themeFill="accent1" w:themeFillTint="66"/>
          </w:tcPr>
          <w:p w14:paraId="7569CEB7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  <w:t>Documents Selected</w:t>
            </w:r>
          </w:p>
        </w:tc>
        <w:tc>
          <w:tcPr>
            <w:tcW w:w="4533" w:type="dxa"/>
            <w:shd w:val="clear" w:color="auto" w:fill="BDD6EE" w:themeFill="accent1" w:themeFillTint="66"/>
          </w:tcPr>
          <w:p w14:paraId="772C436E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  <w:t>Data Analyzed</w:t>
            </w:r>
          </w:p>
        </w:tc>
      </w:tr>
      <w:tr w:rsidR="003F022E" w:rsidRPr="000B4F32" w14:paraId="605E426C" w14:textId="77777777" w:rsidTr="0015011F">
        <w:trPr>
          <w:trHeight w:val="54"/>
        </w:trPr>
        <w:tc>
          <w:tcPr>
            <w:tcW w:w="1670" w:type="dxa"/>
            <w:vMerge w:val="restart"/>
            <w:tcBorders>
              <w:bottom w:val="nil"/>
            </w:tcBorders>
            <w:shd w:val="clear" w:color="auto" w:fill="DEEAF6" w:themeFill="accent1" w:themeFillTint="33"/>
          </w:tcPr>
          <w:p w14:paraId="0F241E22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  <w:t xml:space="preserve">Saskatchewan </w:t>
            </w:r>
          </w:p>
        </w:tc>
        <w:tc>
          <w:tcPr>
            <w:tcW w:w="3147" w:type="dxa"/>
            <w:shd w:val="clear" w:color="auto" w:fill="DEEAF6" w:themeFill="accent1" w:themeFillTint="33"/>
          </w:tcPr>
          <w:p w14:paraId="77A4ACE1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 xml:space="preserve">Saskatchewan Provincial TB Strategy 2013-2018 </w:t>
            </w:r>
          </w:p>
        </w:tc>
        <w:tc>
          <w:tcPr>
            <w:tcW w:w="4533" w:type="dxa"/>
            <w:shd w:val="clear" w:color="auto" w:fill="DEEAF6" w:themeFill="accent1" w:themeFillTint="33"/>
          </w:tcPr>
          <w:p w14:paraId="03892C3A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Objectives and goals</w:t>
            </w:r>
          </w:p>
          <w:p w14:paraId="4072638B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Current TB care and prevention programming</w:t>
            </w:r>
          </w:p>
          <w:p w14:paraId="7F61A75B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Inter-jurisdictional policies and programming</w:t>
            </w:r>
          </w:p>
        </w:tc>
      </w:tr>
      <w:tr w:rsidR="003F022E" w:rsidRPr="000B4F32" w14:paraId="62312955" w14:textId="77777777" w:rsidTr="0015011F">
        <w:trPr>
          <w:trHeight w:val="54"/>
        </w:trPr>
        <w:tc>
          <w:tcPr>
            <w:tcW w:w="1670" w:type="dxa"/>
            <w:vMerge/>
            <w:tcBorders>
              <w:bottom w:val="nil"/>
            </w:tcBorders>
            <w:shd w:val="clear" w:color="auto" w:fill="DEEAF6" w:themeFill="accent1" w:themeFillTint="33"/>
          </w:tcPr>
          <w:p w14:paraId="1B270686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147" w:type="dxa"/>
            <w:shd w:val="clear" w:color="auto" w:fill="DEEAF6" w:themeFill="accent1" w:themeFillTint="33"/>
          </w:tcPr>
          <w:p w14:paraId="4331FBA0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 xml:space="preserve">TB Prevention and Control Saskatchewan Clinical Policies and Procedures </w:t>
            </w:r>
          </w:p>
        </w:tc>
        <w:tc>
          <w:tcPr>
            <w:tcW w:w="4533" w:type="dxa"/>
            <w:shd w:val="clear" w:color="auto" w:fill="DEEAF6" w:themeFill="accent1" w:themeFillTint="33"/>
          </w:tcPr>
          <w:p w14:paraId="6F8F04C2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Current TB care and prevention programming</w:t>
            </w:r>
          </w:p>
          <w:p w14:paraId="5CB68C4C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Inter-jurisdictional policies and programming</w:t>
            </w:r>
          </w:p>
        </w:tc>
      </w:tr>
      <w:tr w:rsidR="003F022E" w:rsidRPr="000B4F32" w14:paraId="38B9B4D0" w14:textId="77777777" w:rsidTr="0015011F">
        <w:trPr>
          <w:trHeight w:val="54"/>
        </w:trPr>
        <w:tc>
          <w:tcPr>
            <w:tcW w:w="1670" w:type="dxa"/>
            <w:vMerge/>
            <w:tcBorders>
              <w:bottom w:val="nil"/>
            </w:tcBorders>
            <w:shd w:val="clear" w:color="auto" w:fill="DEEAF6" w:themeFill="accent1" w:themeFillTint="33"/>
          </w:tcPr>
          <w:p w14:paraId="130B8709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147" w:type="dxa"/>
            <w:shd w:val="clear" w:color="auto" w:fill="DEEAF6" w:themeFill="accent1" w:themeFillTint="33"/>
          </w:tcPr>
          <w:p w14:paraId="3C481FFD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 xml:space="preserve">Saskatchewan TB Program Worker Handbook  </w:t>
            </w:r>
          </w:p>
        </w:tc>
        <w:tc>
          <w:tcPr>
            <w:tcW w:w="4533" w:type="dxa"/>
            <w:shd w:val="clear" w:color="auto" w:fill="DEEAF6" w:themeFill="accent1" w:themeFillTint="33"/>
          </w:tcPr>
          <w:p w14:paraId="35FFFDD5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Current TB care and prevention programming</w:t>
            </w:r>
          </w:p>
        </w:tc>
      </w:tr>
      <w:tr w:rsidR="003F022E" w:rsidRPr="000B4F32" w14:paraId="426A5E9E" w14:textId="77777777" w:rsidTr="0015011F">
        <w:trPr>
          <w:trHeight w:val="54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475A60A3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147" w:type="dxa"/>
            <w:shd w:val="clear" w:color="auto" w:fill="DEEAF6" w:themeFill="accent1" w:themeFillTint="33"/>
          </w:tcPr>
          <w:p w14:paraId="713A1538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 xml:space="preserve">Interprovincial TB Communication Forms (For “follow up/ongoing” communication for short term transient patients for less than four weeks) (Provided by TB Control </w:t>
            </w:r>
            <w:r>
              <w:rPr>
                <w:rFonts w:cs="Times New Roman"/>
                <w:color w:val="000000" w:themeColor="text1"/>
                <w:sz w:val="20"/>
                <w:szCs w:val="18"/>
              </w:rPr>
              <w:t>Saskatchewan</w:t>
            </w: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4533" w:type="dxa"/>
            <w:shd w:val="clear" w:color="auto" w:fill="DEEAF6" w:themeFill="accent1" w:themeFillTint="33"/>
          </w:tcPr>
          <w:p w14:paraId="5C4CF489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Mobility and inter-jurisdictional policies and programming</w:t>
            </w:r>
          </w:p>
          <w:p w14:paraId="0F4E1AE4" w14:textId="77777777" w:rsidR="003F022E" w:rsidRPr="000B4F32" w:rsidRDefault="003F022E" w:rsidP="0015011F">
            <w:pPr>
              <w:pStyle w:val="ListParagraph"/>
              <w:ind w:left="360"/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3F022E" w:rsidRPr="000B4F32" w14:paraId="3E7B5D1B" w14:textId="77777777" w:rsidTr="0015011F">
        <w:trPr>
          <w:trHeight w:val="54"/>
        </w:trPr>
        <w:tc>
          <w:tcPr>
            <w:tcW w:w="1670" w:type="dxa"/>
            <w:tcBorders>
              <w:top w:val="nil"/>
            </w:tcBorders>
            <w:shd w:val="clear" w:color="auto" w:fill="DEEAF6" w:themeFill="accent1" w:themeFillTint="33"/>
          </w:tcPr>
          <w:p w14:paraId="05BC994F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147" w:type="dxa"/>
            <w:shd w:val="clear" w:color="auto" w:fill="DEEAF6" w:themeFill="accent1" w:themeFillTint="33"/>
          </w:tcPr>
          <w:p w14:paraId="2F52313C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Interprovincial TB Referral Form</w:t>
            </w:r>
          </w:p>
          <w:p w14:paraId="7F3793D9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 xml:space="preserve">(For patients who have permanently relocated) (Provided by TB Control </w:t>
            </w:r>
            <w:r>
              <w:rPr>
                <w:rFonts w:cs="Times New Roman"/>
                <w:color w:val="000000" w:themeColor="text1"/>
                <w:sz w:val="20"/>
                <w:szCs w:val="18"/>
              </w:rPr>
              <w:t>Saskatchewan</w:t>
            </w: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4533" w:type="dxa"/>
            <w:shd w:val="clear" w:color="auto" w:fill="DEEAF6" w:themeFill="accent1" w:themeFillTint="33"/>
          </w:tcPr>
          <w:p w14:paraId="122FEFDC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Mobility and inter-jurisdictional policies and programming</w:t>
            </w:r>
          </w:p>
          <w:p w14:paraId="5411807F" w14:textId="77777777" w:rsidR="003F022E" w:rsidRPr="000B4F32" w:rsidRDefault="003F022E" w:rsidP="0015011F">
            <w:pPr>
              <w:pStyle w:val="ListParagraph"/>
              <w:ind w:left="360"/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3F022E" w:rsidRPr="000B4F32" w14:paraId="525E5983" w14:textId="77777777" w:rsidTr="0015011F">
        <w:trPr>
          <w:trHeight w:val="135"/>
        </w:trPr>
        <w:tc>
          <w:tcPr>
            <w:tcW w:w="1670" w:type="dxa"/>
            <w:vMerge w:val="restart"/>
            <w:shd w:val="clear" w:color="auto" w:fill="BDD6EE" w:themeFill="accent1" w:themeFillTint="66"/>
          </w:tcPr>
          <w:p w14:paraId="1DAFADE7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  <w:t xml:space="preserve">Alberta </w:t>
            </w:r>
          </w:p>
        </w:tc>
        <w:tc>
          <w:tcPr>
            <w:tcW w:w="3147" w:type="dxa"/>
            <w:shd w:val="clear" w:color="auto" w:fill="BDD6EE" w:themeFill="accent1" w:themeFillTint="66"/>
          </w:tcPr>
          <w:p w14:paraId="77AF2944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Tuberculosis Prevention and Control Guidelines for Alberta</w:t>
            </w:r>
          </w:p>
        </w:tc>
        <w:tc>
          <w:tcPr>
            <w:tcW w:w="4533" w:type="dxa"/>
            <w:shd w:val="clear" w:color="auto" w:fill="BDD6EE" w:themeFill="accent1" w:themeFillTint="66"/>
          </w:tcPr>
          <w:p w14:paraId="15CF184E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Objectives and goals</w:t>
            </w:r>
          </w:p>
          <w:p w14:paraId="44E432E4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Current TB care and prevention programming</w:t>
            </w:r>
          </w:p>
          <w:p w14:paraId="01812468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Inter-jurisdictional policies and programming</w:t>
            </w:r>
          </w:p>
        </w:tc>
      </w:tr>
      <w:tr w:rsidR="003F022E" w:rsidRPr="000B4F32" w14:paraId="6CCF3867" w14:textId="77777777" w:rsidTr="0015011F">
        <w:trPr>
          <w:trHeight w:val="135"/>
        </w:trPr>
        <w:tc>
          <w:tcPr>
            <w:tcW w:w="1670" w:type="dxa"/>
            <w:vMerge/>
            <w:shd w:val="clear" w:color="auto" w:fill="BDD6EE" w:themeFill="accent1" w:themeFillTint="66"/>
          </w:tcPr>
          <w:p w14:paraId="089CC51F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147" w:type="dxa"/>
            <w:shd w:val="clear" w:color="auto" w:fill="BDD6EE" w:themeFill="accent1" w:themeFillTint="66"/>
          </w:tcPr>
          <w:p w14:paraId="0142DCA1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 xml:space="preserve">Tuberculosis in Alberta Surveillance Report </w:t>
            </w:r>
          </w:p>
        </w:tc>
        <w:tc>
          <w:tcPr>
            <w:tcW w:w="4533" w:type="dxa"/>
            <w:shd w:val="clear" w:color="auto" w:fill="BDD6EE" w:themeFill="accent1" w:themeFillTint="66"/>
          </w:tcPr>
          <w:p w14:paraId="7D16BFF6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Healthcare structure and programming</w:t>
            </w:r>
          </w:p>
        </w:tc>
      </w:tr>
      <w:tr w:rsidR="003F022E" w:rsidRPr="000B4F32" w14:paraId="7B75B9C9" w14:textId="77777777" w:rsidTr="0015011F">
        <w:trPr>
          <w:trHeight w:val="95"/>
        </w:trPr>
        <w:tc>
          <w:tcPr>
            <w:tcW w:w="1670" w:type="dxa"/>
            <w:vMerge w:val="restart"/>
            <w:shd w:val="clear" w:color="auto" w:fill="DEEAF6" w:themeFill="accent1" w:themeFillTint="33"/>
          </w:tcPr>
          <w:p w14:paraId="64B3AC58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  <w:t>Policies regarding Indigenous Peoples</w:t>
            </w:r>
          </w:p>
        </w:tc>
        <w:tc>
          <w:tcPr>
            <w:tcW w:w="3147" w:type="dxa"/>
            <w:shd w:val="clear" w:color="auto" w:fill="DEEAF6" w:themeFill="accent1" w:themeFillTint="33"/>
          </w:tcPr>
          <w:p w14:paraId="5BE79F95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Indian Act</w:t>
            </w:r>
          </w:p>
        </w:tc>
        <w:tc>
          <w:tcPr>
            <w:tcW w:w="4533" w:type="dxa"/>
            <w:shd w:val="clear" w:color="auto" w:fill="DEEAF6" w:themeFill="accent1" w:themeFillTint="33"/>
          </w:tcPr>
          <w:p w14:paraId="5FE1FB62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Indigenous lands and treaty status</w:t>
            </w:r>
          </w:p>
        </w:tc>
      </w:tr>
      <w:tr w:rsidR="003F022E" w:rsidRPr="000B4F32" w14:paraId="1E975E77" w14:textId="77777777" w:rsidTr="0015011F">
        <w:trPr>
          <w:trHeight w:val="95"/>
        </w:trPr>
        <w:tc>
          <w:tcPr>
            <w:tcW w:w="1670" w:type="dxa"/>
            <w:vMerge/>
            <w:shd w:val="clear" w:color="auto" w:fill="DEEAF6" w:themeFill="accent1" w:themeFillTint="33"/>
          </w:tcPr>
          <w:p w14:paraId="6E655664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147" w:type="dxa"/>
            <w:shd w:val="clear" w:color="auto" w:fill="DEEAF6" w:themeFill="accent1" w:themeFillTint="33"/>
          </w:tcPr>
          <w:p w14:paraId="40B03CA1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 xml:space="preserve">TRC Calls to Action </w:t>
            </w:r>
          </w:p>
        </w:tc>
        <w:tc>
          <w:tcPr>
            <w:tcW w:w="4533" w:type="dxa"/>
            <w:shd w:val="clear" w:color="auto" w:fill="DEEAF6" w:themeFill="accent1" w:themeFillTint="33"/>
          </w:tcPr>
          <w:p w14:paraId="4412C188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Inter-jurisdictional policies</w:t>
            </w:r>
          </w:p>
        </w:tc>
      </w:tr>
      <w:tr w:rsidR="003F022E" w:rsidRPr="000B4F32" w14:paraId="14C8E2F6" w14:textId="77777777" w:rsidTr="0015011F">
        <w:trPr>
          <w:trHeight w:val="95"/>
        </w:trPr>
        <w:tc>
          <w:tcPr>
            <w:tcW w:w="1670" w:type="dxa"/>
            <w:vMerge/>
            <w:shd w:val="clear" w:color="auto" w:fill="DEEAF6" w:themeFill="accent1" w:themeFillTint="33"/>
          </w:tcPr>
          <w:p w14:paraId="300FCFD3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147" w:type="dxa"/>
            <w:shd w:val="clear" w:color="auto" w:fill="DEEAF6" w:themeFill="accent1" w:themeFillTint="33"/>
          </w:tcPr>
          <w:p w14:paraId="69A4AE43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 xml:space="preserve">Health Canada’s Strategy Against TB for First Nations On-Reserve </w:t>
            </w:r>
          </w:p>
        </w:tc>
        <w:tc>
          <w:tcPr>
            <w:tcW w:w="4533" w:type="dxa"/>
            <w:shd w:val="clear" w:color="auto" w:fill="DEEAF6" w:themeFill="accent1" w:themeFillTint="33"/>
          </w:tcPr>
          <w:p w14:paraId="6DBE2DA8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Current TB care and prevention</w:t>
            </w:r>
          </w:p>
          <w:p w14:paraId="33EA86C2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Mobility and inter-jurisdictional policies and programming</w:t>
            </w:r>
          </w:p>
          <w:p w14:paraId="47409CB7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Risk factors and SDOH</w:t>
            </w:r>
          </w:p>
        </w:tc>
      </w:tr>
      <w:tr w:rsidR="003F022E" w:rsidRPr="000B4F32" w14:paraId="25517297" w14:textId="77777777" w:rsidTr="0015011F">
        <w:trPr>
          <w:trHeight w:val="825"/>
        </w:trPr>
        <w:tc>
          <w:tcPr>
            <w:tcW w:w="1670" w:type="dxa"/>
            <w:shd w:val="clear" w:color="auto" w:fill="BDD6EE" w:themeFill="accent1" w:themeFillTint="66"/>
          </w:tcPr>
          <w:p w14:paraId="79B7BFF8" w14:textId="77777777" w:rsidR="003F022E" w:rsidRPr="000B4F32" w:rsidRDefault="003F022E" w:rsidP="0015011F">
            <w:pPr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b/>
                <w:bCs/>
                <w:color w:val="000000" w:themeColor="text1"/>
                <w:sz w:val="20"/>
                <w:szCs w:val="18"/>
              </w:rPr>
              <w:t xml:space="preserve">National </w:t>
            </w:r>
          </w:p>
        </w:tc>
        <w:tc>
          <w:tcPr>
            <w:tcW w:w="3147" w:type="dxa"/>
            <w:shd w:val="clear" w:color="auto" w:fill="BDD6EE" w:themeFill="accent1" w:themeFillTint="66"/>
          </w:tcPr>
          <w:p w14:paraId="194C8DAC" w14:textId="77777777" w:rsidR="003F022E" w:rsidRPr="000B4F32" w:rsidRDefault="003F022E" w:rsidP="0015011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Canadian Tuberculosis Standards 7</w:t>
            </w:r>
            <w:r w:rsidRPr="000B4F32">
              <w:rPr>
                <w:rFonts w:cs="Times New Roman"/>
                <w:color w:val="000000" w:themeColor="text1"/>
                <w:sz w:val="20"/>
                <w:szCs w:val="18"/>
                <w:vertAlign w:val="superscript"/>
              </w:rPr>
              <w:t>th</w:t>
            </w: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 xml:space="preserve"> Edition </w:t>
            </w:r>
          </w:p>
        </w:tc>
        <w:tc>
          <w:tcPr>
            <w:tcW w:w="4533" w:type="dxa"/>
            <w:shd w:val="clear" w:color="auto" w:fill="BDD6EE" w:themeFill="accent1" w:themeFillTint="66"/>
          </w:tcPr>
          <w:p w14:paraId="28E3CDA3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Current TB care and prevention programming recommendations</w:t>
            </w:r>
          </w:p>
          <w:p w14:paraId="4654AB00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Inter-jurisdictional policies and programming</w:t>
            </w:r>
          </w:p>
          <w:p w14:paraId="3930EF19" w14:textId="77777777" w:rsidR="003F022E" w:rsidRPr="000B4F32" w:rsidRDefault="003F022E" w:rsidP="003F022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0"/>
                <w:szCs w:val="18"/>
              </w:rPr>
            </w:pPr>
            <w:r w:rsidRPr="000B4F32">
              <w:rPr>
                <w:rFonts w:cs="Times New Roman"/>
                <w:color w:val="000000" w:themeColor="text1"/>
                <w:sz w:val="20"/>
                <w:szCs w:val="18"/>
              </w:rPr>
              <w:t>On-reserve and high incident community recommendations</w:t>
            </w:r>
          </w:p>
        </w:tc>
      </w:tr>
    </w:tbl>
    <w:p w14:paraId="40A5E2E6" w14:textId="77777777" w:rsidR="003F022E" w:rsidRPr="000B4F32" w:rsidRDefault="003F022E" w:rsidP="003F022E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36FE5571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</w:p>
    <w:p w14:paraId="56209941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</w:p>
    <w:p w14:paraId="3BA43E36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</w:p>
    <w:p w14:paraId="26F3712A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</w:p>
    <w:p w14:paraId="6449200A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</w:p>
    <w:p w14:paraId="645EF9EB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</w:p>
    <w:p w14:paraId="2AA6A7DB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  <w:r w:rsidRPr="000B4F32">
        <w:rPr>
          <w:rFonts w:cs="Times New Roman"/>
          <w:b/>
          <w:bCs/>
          <w:color w:val="000000" w:themeColor="text1"/>
          <w:szCs w:val="24"/>
        </w:rPr>
        <w:t>Appendix 2</w:t>
      </w:r>
    </w:p>
    <w:p w14:paraId="56823D38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</w:p>
    <w:p w14:paraId="5D73842E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  <w:r w:rsidRPr="000B4F32">
        <w:rPr>
          <w:rFonts w:cs="Times New Roman"/>
          <w:b/>
          <w:bCs/>
          <w:color w:val="000000" w:themeColor="text1"/>
          <w:szCs w:val="24"/>
        </w:rPr>
        <w:t>Interview Questions for community participants</w:t>
      </w:r>
    </w:p>
    <w:p w14:paraId="33A2B5B3" w14:textId="77777777" w:rsidR="003F022E" w:rsidRPr="000B4F32" w:rsidRDefault="003F022E" w:rsidP="003F022E">
      <w:pPr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What does home mean to you? </w:t>
      </w:r>
    </w:p>
    <w:p w14:paraId="04215777" w14:textId="77777777" w:rsidR="003F022E" w:rsidRPr="000B4F32" w:rsidRDefault="003F022E" w:rsidP="003F022E">
      <w:pPr>
        <w:numPr>
          <w:ilvl w:val="1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Where do you consider home? </w:t>
      </w:r>
    </w:p>
    <w:p w14:paraId="0E2535FE" w14:textId="77777777" w:rsidR="003F022E" w:rsidRPr="000B4F32" w:rsidRDefault="003F022E" w:rsidP="003F022E">
      <w:pPr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>What role does mobility (or travel) play in your life?</w:t>
      </w:r>
    </w:p>
    <w:p w14:paraId="449508DF" w14:textId="77777777" w:rsidR="003F022E" w:rsidRPr="000B4F32" w:rsidRDefault="003F022E" w:rsidP="003F022E">
      <w:pPr>
        <w:numPr>
          <w:ilvl w:val="1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Is mobility out of the community important to you? </w:t>
      </w:r>
    </w:p>
    <w:p w14:paraId="24822450" w14:textId="77777777" w:rsidR="003F022E" w:rsidRPr="000B4F32" w:rsidRDefault="003F022E" w:rsidP="003F022E">
      <w:pPr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>How often do you travel out of the community?</w:t>
      </w:r>
    </w:p>
    <w:p w14:paraId="2FB7C79D" w14:textId="77777777" w:rsidR="003F022E" w:rsidRPr="000B4F32" w:rsidRDefault="003F022E" w:rsidP="003F022E">
      <w:pPr>
        <w:numPr>
          <w:ilvl w:val="1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How long do you travel for? </w:t>
      </w:r>
    </w:p>
    <w:p w14:paraId="38718E81" w14:textId="77777777" w:rsidR="003F022E" w:rsidRPr="000B4F32" w:rsidRDefault="003F022E" w:rsidP="003F022E">
      <w:pPr>
        <w:numPr>
          <w:ilvl w:val="1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Where do you travel to the most? </w:t>
      </w:r>
    </w:p>
    <w:p w14:paraId="7774B4BD" w14:textId="77777777" w:rsidR="003F022E" w:rsidRPr="000B4F32" w:rsidRDefault="003F022E" w:rsidP="003F022E">
      <w:pPr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>What are the most common routes to Fort McMurray? (Edmonton, Janvier, etc)</w:t>
      </w:r>
    </w:p>
    <w:p w14:paraId="5346BA9C" w14:textId="77777777" w:rsidR="003F022E" w:rsidRPr="000B4F32" w:rsidRDefault="003F022E" w:rsidP="003F022E">
      <w:pPr>
        <w:numPr>
          <w:ilvl w:val="1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Do these routes change with the seasons? </w:t>
      </w:r>
    </w:p>
    <w:p w14:paraId="5B71C790" w14:textId="77777777" w:rsidR="003F022E" w:rsidRPr="000B4F32" w:rsidRDefault="003F022E" w:rsidP="003F022E">
      <w:pPr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What times of the year do you travel the most? </w:t>
      </w:r>
    </w:p>
    <w:p w14:paraId="3701D7CC" w14:textId="77777777" w:rsidR="003F022E" w:rsidRPr="000B4F32" w:rsidRDefault="003F022E" w:rsidP="003F022E">
      <w:pPr>
        <w:numPr>
          <w:ilvl w:val="1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>Do you think travel patterns change at different times?</w:t>
      </w:r>
    </w:p>
    <w:p w14:paraId="5CC089F2" w14:textId="77777777" w:rsidR="003F022E" w:rsidRPr="000B4F32" w:rsidRDefault="003F022E" w:rsidP="003F022E">
      <w:pPr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What are your main reasons for travelling out of the community? </w:t>
      </w:r>
    </w:p>
    <w:p w14:paraId="6178E4C6" w14:textId="77777777" w:rsidR="003F022E" w:rsidRPr="000B4F32" w:rsidRDefault="003F022E" w:rsidP="003F022E">
      <w:pPr>
        <w:numPr>
          <w:ilvl w:val="1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>(depending on the answers)</w:t>
      </w:r>
    </w:p>
    <w:p w14:paraId="75ED744A" w14:textId="77777777" w:rsidR="003F022E" w:rsidRPr="000B4F32" w:rsidRDefault="003F022E" w:rsidP="003F022E">
      <w:pPr>
        <w:numPr>
          <w:ilvl w:val="2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How important is travel for maintaining </w:t>
      </w:r>
      <w:r w:rsidRPr="000B4F32">
        <w:rPr>
          <w:rFonts w:cs="Times New Roman"/>
          <w:b/>
          <w:bCs/>
          <w:color w:val="000000" w:themeColor="text1"/>
          <w:szCs w:val="24"/>
        </w:rPr>
        <w:t>familial</w:t>
      </w:r>
      <w:r w:rsidRPr="000B4F32">
        <w:rPr>
          <w:rFonts w:cs="Times New Roman"/>
          <w:color w:val="000000" w:themeColor="text1"/>
          <w:szCs w:val="24"/>
        </w:rPr>
        <w:t xml:space="preserve"> connections? (Garsen Lake)</w:t>
      </w:r>
    </w:p>
    <w:p w14:paraId="31933E75" w14:textId="77777777" w:rsidR="003F022E" w:rsidRPr="000B4F32" w:rsidRDefault="003F022E" w:rsidP="003F022E">
      <w:pPr>
        <w:numPr>
          <w:ilvl w:val="2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Are travel routes today still reflective of </w:t>
      </w:r>
      <w:r w:rsidRPr="000B4F32">
        <w:rPr>
          <w:rFonts w:cs="Times New Roman"/>
          <w:b/>
          <w:bCs/>
          <w:color w:val="000000" w:themeColor="text1"/>
          <w:szCs w:val="24"/>
        </w:rPr>
        <w:t>traditional</w:t>
      </w:r>
      <w:r w:rsidRPr="000B4F32">
        <w:rPr>
          <w:rFonts w:cs="Times New Roman"/>
          <w:color w:val="000000" w:themeColor="text1"/>
          <w:szCs w:val="24"/>
        </w:rPr>
        <w:t xml:space="preserve"> hunting routes?</w:t>
      </w:r>
    </w:p>
    <w:p w14:paraId="78CFE6D7" w14:textId="77777777" w:rsidR="003F022E" w:rsidRPr="000B4F32" w:rsidRDefault="003F022E" w:rsidP="003F022E">
      <w:pPr>
        <w:numPr>
          <w:ilvl w:val="2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Why do you travel out of the community for </w:t>
      </w:r>
      <w:r w:rsidRPr="000B4F32">
        <w:rPr>
          <w:rFonts w:cs="Times New Roman"/>
          <w:b/>
          <w:bCs/>
          <w:color w:val="000000" w:themeColor="text1"/>
          <w:szCs w:val="24"/>
        </w:rPr>
        <w:t>work</w:t>
      </w:r>
      <w:r w:rsidRPr="000B4F32">
        <w:rPr>
          <w:rFonts w:cs="Times New Roman"/>
          <w:color w:val="000000" w:themeColor="text1"/>
          <w:szCs w:val="24"/>
        </w:rPr>
        <w:t xml:space="preserve">? How often do you have to travel for work? How often can you come back? </w:t>
      </w:r>
      <w:r w:rsidRPr="000B4F32">
        <w:rPr>
          <w:rFonts w:cs="Times New Roman"/>
          <w:color w:val="000000" w:themeColor="text1"/>
          <w:szCs w:val="24"/>
        </w:rPr>
        <w:tab/>
      </w:r>
    </w:p>
    <w:p w14:paraId="5AD7CC3A" w14:textId="77777777" w:rsidR="003F022E" w:rsidRPr="000B4F32" w:rsidRDefault="003F022E" w:rsidP="003F022E">
      <w:pPr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What does TB mean to you? </w:t>
      </w:r>
    </w:p>
    <w:p w14:paraId="23C2AC4E" w14:textId="77777777" w:rsidR="003F022E" w:rsidRPr="000B4F32" w:rsidRDefault="003F022E" w:rsidP="003F022E">
      <w:pPr>
        <w:numPr>
          <w:ilvl w:val="1"/>
          <w:numId w:val="1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>If you feel comfortable sharing, what experiences have you had with TB?</w:t>
      </w:r>
    </w:p>
    <w:p w14:paraId="7E590100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  <w:r w:rsidRPr="000B4F32">
        <w:rPr>
          <w:rFonts w:cs="Times New Roman"/>
          <w:b/>
          <w:bCs/>
          <w:color w:val="000000" w:themeColor="text1"/>
          <w:szCs w:val="24"/>
        </w:rPr>
        <w:t>Interview guide Healthcare Workers</w:t>
      </w:r>
    </w:p>
    <w:p w14:paraId="378866F2" w14:textId="77777777" w:rsidR="003F022E" w:rsidRPr="000B4F32" w:rsidRDefault="003F022E" w:rsidP="003F022E">
      <w:pPr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What is the standard procedure for patients presenting with symptoms of TB in </w:t>
      </w:r>
      <w:r w:rsidRPr="000B4F32">
        <w:rPr>
          <w:rFonts w:cs="Times New Roman"/>
          <w:color w:val="000000" w:themeColor="text1"/>
          <w:szCs w:val="24"/>
          <w:u w:val="single"/>
        </w:rPr>
        <w:t>(</w:t>
      </w:r>
      <w:r w:rsidRPr="000B4F32">
        <w:rPr>
          <w:rFonts w:cs="Times New Roman"/>
          <w:i/>
          <w:iCs/>
          <w:color w:val="000000" w:themeColor="text1"/>
          <w:szCs w:val="24"/>
          <w:u w:val="single"/>
        </w:rPr>
        <w:t>Location)</w:t>
      </w:r>
      <w:r w:rsidRPr="000B4F32">
        <w:rPr>
          <w:rFonts w:cs="Times New Roman"/>
          <w:color w:val="000000" w:themeColor="text1"/>
          <w:szCs w:val="24"/>
        </w:rPr>
        <w:t>?</w:t>
      </w:r>
    </w:p>
    <w:p w14:paraId="06E214D4" w14:textId="77777777" w:rsidR="003F022E" w:rsidRPr="000B4F32" w:rsidRDefault="003F022E" w:rsidP="003F022E">
      <w:pPr>
        <w:numPr>
          <w:ilvl w:val="1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To what extent is the TB standard outlined by your province followed by healthcare workers? </w:t>
      </w:r>
    </w:p>
    <w:p w14:paraId="2A45C45C" w14:textId="77777777" w:rsidR="003F022E" w:rsidRPr="000B4F32" w:rsidRDefault="003F022E" w:rsidP="003F022E">
      <w:pPr>
        <w:numPr>
          <w:ilvl w:val="2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Is there a difference between TB programming (care and prevention) in rural compared to urban and city? </w:t>
      </w:r>
    </w:p>
    <w:p w14:paraId="518AD1DE" w14:textId="77777777" w:rsidR="003F022E" w:rsidRPr="000B4F32" w:rsidRDefault="003F022E" w:rsidP="003F022E">
      <w:pPr>
        <w:numPr>
          <w:ilvl w:val="1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Where are sputum cultures sent if the patient is from a different jurisdiction?  </w:t>
      </w:r>
      <w:r w:rsidRPr="000B4F32">
        <w:rPr>
          <w:rFonts w:cs="Times New Roman"/>
          <w:color w:val="000000" w:themeColor="text1"/>
          <w:szCs w:val="24"/>
        </w:rPr>
        <w:tab/>
      </w:r>
    </w:p>
    <w:p w14:paraId="55A20052" w14:textId="77777777" w:rsidR="003F022E" w:rsidRPr="000B4F32" w:rsidRDefault="003F022E" w:rsidP="003F022E">
      <w:pPr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If an active TB patient from another province comes to your health location, what is the procedure? </w:t>
      </w:r>
    </w:p>
    <w:p w14:paraId="42F33F5A" w14:textId="77777777" w:rsidR="003F022E" w:rsidRPr="000B4F32" w:rsidRDefault="003F022E" w:rsidP="003F022E">
      <w:pPr>
        <w:numPr>
          <w:ilvl w:val="1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If reported, which jurisdiction do you report “mobile” cases to? Is reporting to specific health branches required? </w:t>
      </w:r>
    </w:p>
    <w:p w14:paraId="08D23950" w14:textId="77777777" w:rsidR="003F022E" w:rsidRPr="000B4F32" w:rsidRDefault="003F022E" w:rsidP="003F022E">
      <w:pPr>
        <w:numPr>
          <w:ilvl w:val="1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What is the inter jurisdictional procedure of reporting active cases for “Status Indian” First Nations? </w:t>
      </w:r>
    </w:p>
    <w:p w14:paraId="03ED6ED5" w14:textId="77777777" w:rsidR="003F022E" w:rsidRPr="000B4F32" w:rsidRDefault="003F022E" w:rsidP="003F022E">
      <w:pPr>
        <w:numPr>
          <w:ilvl w:val="1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If the patient is still completing their treatment and has travelled between jurisdictions, what are the steps that you take? </w:t>
      </w:r>
    </w:p>
    <w:p w14:paraId="46C1A0C5" w14:textId="77777777" w:rsidR="003F022E" w:rsidRPr="000B4F32" w:rsidRDefault="003F022E" w:rsidP="003F022E">
      <w:pPr>
        <w:numPr>
          <w:ilvl w:val="1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>Can treatment be given in a different jurisdiction?</w:t>
      </w:r>
    </w:p>
    <w:p w14:paraId="0D4172AC" w14:textId="77777777" w:rsidR="003F022E" w:rsidRPr="000B4F32" w:rsidRDefault="003F022E" w:rsidP="003F022E">
      <w:pPr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 Do you utilize DOT? What is the procedure for DOT? </w:t>
      </w:r>
    </w:p>
    <w:p w14:paraId="22D8E071" w14:textId="77777777" w:rsidR="003F022E" w:rsidRPr="000B4F32" w:rsidRDefault="003F022E" w:rsidP="003F022E">
      <w:pPr>
        <w:numPr>
          <w:ilvl w:val="1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What is the procedure for patient isolation? Home isolation? </w:t>
      </w:r>
    </w:p>
    <w:p w14:paraId="75270C1D" w14:textId="77777777" w:rsidR="003F022E" w:rsidRPr="000B4F32" w:rsidRDefault="003F022E" w:rsidP="003F022E">
      <w:pPr>
        <w:numPr>
          <w:ilvl w:val="1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Within the TB strategies, isolation and DOT procedures are different for Saskatchewan and Alberta, how do you think this may impact potentially mobile patients? </w:t>
      </w:r>
    </w:p>
    <w:p w14:paraId="7608B628" w14:textId="77777777" w:rsidR="003F022E" w:rsidRPr="000B4F32" w:rsidRDefault="003F022E" w:rsidP="003F022E">
      <w:pPr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lastRenderedPageBreak/>
        <w:t xml:space="preserve">  What is the role of the “patient charter of rights” in your community regarding TB treatment? </w:t>
      </w:r>
    </w:p>
    <w:p w14:paraId="47412606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</w:p>
    <w:p w14:paraId="295C9A02" w14:textId="77777777" w:rsidR="003F022E" w:rsidRPr="000B4F32" w:rsidRDefault="003F022E" w:rsidP="003F022E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  <w:r w:rsidRPr="000B4F32">
        <w:rPr>
          <w:rFonts w:cs="Times New Roman"/>
          <w:b/>
          <w:bCs/>
          <w:color w:val="000000" w:themeColor="text1"/>
          <w:szCs w:val="24"/>
        </w:rPr>
        <w:t xml:space="preserve">Additional questions for </w:t>
      </w:r>
      <w:r>
        <w:rPr>
          <w:rFonts w:cs="Times New Roman"/>
          <w:b/>
          <w:bCs/>
          <w:color w:val="000000" w:themeColor="text1"/>
          <w:szCs w:val="24"/>
        </w:rPr>
        <w:t>Northern Inter-Tribal Health Authority</w:t>
      </w:r>
      <w:r w:rsidRPr="000B4F32">
        <w:rPr>
          <w:rFonts w:cs="Times New Roman"/>
          <w:b/>
          <w:bCs/>
          <w:color w:val="000000" w:themeColor="text1"/>
          <w:szCs w:val="24"/>
        </w:rPr>
        <w:t xml:space="preserve"> and other policy workers</w:t>
      </w:r>
    </w:p>
    <w:p w14:paraId="608D12CB" w14:textId="77777777" w:rsidR="003F022E" w:rsidRPr="000B4F32" w:rsidRDefault="003F022E" w:rsidP="003F022E">
      <w:pPr>
        <w:numPr>
          <w:ilvl w:val="0"/>
          <w:numId w:val="3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 xml:space="preserve">What is </w:t>
      </w:r>
      <w:r>
        <w:rPr>
          <w:rFonts w:cs="Times New Roman"/>
          <w:color w:val="000000" w:themeColor="text1"/>
          <w:szCs w:val="24"/>
        </w:rPr>
        <w:t>Northern Inter-Tribal Health Authority</w:t>
      </w:r>
      <w:r w:rsidRPr="000B4F32">
        <w:rPr>
          <w:rFonts w:cs="Times New Roman"/>
          <w:color w:val="000000" w:themeColor="text1"/>
          <w:szCs w:val="24"/>
        </w:rPr>
        <w:t>’s role in TB among First Nations?</w:t>
      </w:r>
    </w:p>
    <w:p w14:paraId="1F16EE4F" w14:textId="77777777" w:rsidR="003F022E" w:rsidRPr="000B4F32" w:rsidRDefault="003F022E" w:rsidP="003F022E">
      <w:pPr>
        <w:numPr>
          <w:ilvl w:val="1"/>
          <w:numId w:val="3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>Is the role different for Metis populations?</w:t>
      </w:r>
    </w:p>
    <w:p w14:paraId="4DC10A24" w14:textId="77777777" w:rsidR="003F022E" w:rsidRPr="000B4F32" w:rsidRDefault="003F022E" w:rsidP="003F022E">
      <w:pPr>
        <w:numPr>
          <w:ilvl w:val="0"/>
          <w:numId w:val="3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0B4F32">
        <w:rPr>
          <w:rFonts w:cs="Times New Roman"/>
          <w:color w:val="000000" w:themeColor="text1"/>
          <w:szCs w:val="24"/>
        </w:rPr>
        <w:t>What do jurisdictional separation of health procedures mean for TB prevention and care?</w:t>
      </w:r>
    </w:p>
    <w:p w14:paraId="01AEDED3" w14:textId="77777777" w:rsidR="003F022E" w:rsidRPr="000B4F32" w:rsidRDefault="003F022E" w:rsidP="003F022E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2CA6ECAA" w14:textId="77777777" w:rsidR="003F022E" w:rsidRPr="000B4F32" w:rsidRDefault="003F022E" w:rsidP="003F022E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1AD20F74" w14:textId="77777777" w:rsidR="00E876CF" w:rsidRDefault="003F022E">
      <w:bookmarkStart w:id="0" w:name="_GoBack"/>
      <w:bookmarkEnd w:id="0"/>
    </w:p>
    <w:sectPr w:rsidR="00E87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2DA"/>
    <w:multiLevelType w:val="hybridMultilevel"/>
    <w:tmpl w:val="E8B64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8C5"/>
    <w:multiLevelType w:val="hybridMultilevel"/>
    <w:tmpl w:val="C9426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434C"/>
    <w:multiLevelType w:val="hybridMultilevel"/>
    <w:tmpl w:val="DC9ABA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76992"/>
    <w:multiLevelType w:val="hybridMultilevel"/>
    <w:tmpl w:val="83BE7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2E"/>
    <w:rsid w:val="003F022E"/>
    <w:rsid w:val="00CE5015"/>
    <w:rsid w:val="00E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F59A"/>
  <w15:chartTrackingRefBased/>
  <w15:docId w15:val="{A1F62789-3B3A-4F2D-8D8B-9162C7D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2E"/>
    <w:rPr>
      <w:rFonts w:ascii="Times New Roman" w:hAnsi="Times New Roman"/>
      <w:sz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F0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22E"/>
    <w:rPr>
      <w:rFonts w:ascii="Times New Roman" w:hAnsi="Times New Roman"/>
      <w:sz w:val="20"/>
      <w:szCs w:val="20"/>
      <w:lang w:bidi="si-LK"/>
    </w:rPr>
  </w:style>
  <w:style w:type="paragraph" w:styleId="ListParagraph">
    <w:name w:val="List Paragraph"/>
    <w:basedOn w:val="Normal"/>
    <w:uiPriority w:val="34"/>
    <w:qFormat/>
    <w:rsid w:val="003F022E"/>
    <w:pPr>
      <w:ind w:left="720"/>
      <w:contextualSpacing/>
    </w:pPr>
  </w:style>
  <w:style w:type="table" w:styleId="TableGrid">
    <w:name w:val="Table Grid"/>
    <w:basedOn w:val="TableNormal"/>
    <w:uiPriority w:val="39"/>
    <w:rsid w:val="003F022E"/>
    <w:pPr>
      <w:spacing w:after="0" w:line="240" w:lineRule="auto"/>
    </w:pPr>
    <w:rPr>
      <w:lang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C85B84F9A264BAC6F0627929DB641" ma:contentTypeVersion="13" ma:contentTypeDescription="Create a new document." ma:contentTypeScope="" ma:versionID="faee03ad9a29928f62c272f33fd19322">
  <xsd:schema xmlns:xsd="http://www.w3.org/2001/XMLSchema" xmlns:xs="http://www.w3.org/2001/XMLSchema" xmlns:p="http://schemas.microsoft.com/office/2006/metadata/properties" xmlns:ns3="3f3f8dd5-f854-4a82-af3b-1712c9531ae6" xmlns:ns4="93204efa-c6bb-40d2-8d3f-342b13176a85" targetNamespace="http://schemas.microsoft.com/office/2006/metadata/properties" ma:root="true" ma:fieldsID="5fae9e954e91bb930f631874996fa15e" ns3:_="" ns4:_="">
    <xsd:import namespace="3f3f8dd5-f854-4a82-af3b-1712c9531ae6"/>
    <xsd:import namespace="93204efa-c6bb-40d2-8d3f-342b13176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f8dd5-f854-4a82-af3b-1712c9531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4efa-c6bb-40d2-8d3f-342b13176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8C10B-595F-4587-A11F-8AA5E104E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f8dd5-f854-4a82-af3b-1712c9531ae6"/>
    <ds:schemaRef ds:uri="93204efa-c6bb-40d2-8d3f-342b13176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C407A-3403-4ECF-A391-494215152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F7D7A-3A64-465C-93DE-378356110FAA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f3f8dd5-f854-4a82-af3b-1712c9531ae6"/>
    <ds:schemaRef ds:uri="http://purl.org/dc/dcmitype/"/>
    <ds:schemaRef ds:uri="http://schemas.openxmlformats.org/package/2006/metadata/core-properties"/>
    <ds:schemaRef ds:uri="93204efa-c6bb-40d2-8d3f-342b13176a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Apeksha Heendeniya</dc:creator>
  <cp:keywords/>
  <dc:description/>
  <cp:lastModifiedBy>Apeksha Heendeniya</cp:lastModifiedBy>
  <cp:revision>1</cp:revision>
  <dcterms:created xsi:type="dcterms:W3CDTF">2022-06-22T05:16:00Z</dcterms:created>
  <dcterms:modified xsi:type="dcterms:W3CDTF">2022-06-22T05:17:00Z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0x010100058C85B84F9A264BAC6F0627929DB641</vt:lpwstr>
  </property>
</Properties>
</file>