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F75B" w14:textId="77777777" w:rsidR="009C1F3E" w:rsidRPr="009B5EDA" w:rsidRDefault="009C1F3E" w:rsidP="009C1F3E">
      <w:pPr>
        <w:widowControl/>
        <w:jc w:val="left"/>
        <w:rPr>
          <w:rFonts w:ascii="Times New Roman" w:eastAsia="宋体" w:hAnsi="Times New Roman" w:cs="Times New Roman"/>
          <w:b/>
          <w:bCs/>
          <w:sz w:val="20"/>
          <w:szCs w:val="20"/>
          <w:lang w:val="en-GB"/>
        </w:rPr>
      </w:pPr>
      <w:r w:rsidRPr="009B5EDA">
        <w:rPr>
          <w:noProof/>
          <w:lang w:val="en-GB"/>
        </w:rPr>
        <w:drawing>
          <wp:inline distT="0" distB="0" distL="0" distR="0" wp14:anchorId="141C7FD5" wp14:editId="2460C2D5">
            <wp:extent cx="2743200" cy="59112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3A72" w14:textId="57603E50" w:rsidR="009C1F3E" w:rsidRPr="004F0A5A" w:rsidRDefault="005C2457" w:rsidP="004F0A5A">
      <w:pPr>
        <w:widowControl/>
        <w:spacing w:line="360" w:lineRule="auto"/>
        <w:jc w:val="left"/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GB"/>
        </w:rPr>
      </w:pPr>
      <w:r w:rsidRPr="004F0A5A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  <w:lang w:val="en-GB"/>
        </w:rPr>
        <w:t>Additional file 1:</w:t>
      </w:r>
      <w:r w:rsidR="009C1F3E" w:rsidRPr="004F0A5A">
        <w:rPr>
          <w:rFonts w:ascii="Times New Roman" w:eastAsia="宋体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9C1F3E" w:rsidRPr="004F0A5A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GB"/>
        </w:rPr>
        <w:t xml:space="preserve">Clot </w:t>
      </w:r>
      <w:r w:rsidR="00F90F23" w:rsidRPr="004F0A5A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GB"/>
        </w:rPr>
        <w:t>location</w:t>
      </w:r>
      <w:r w:rsidR="00F90F23" w:rsidRPr="004F0A5A">
        <w:rPr>
          <w:rFonts w:ascii="Times New Roman" w:eastAsia="宋体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F90F23" w:rsidRPr="004F0A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The reconstruction in red</w:t>
      </w:r>
      <w:r w:rsidR="00F90F23" w:rsidRPr="004F0A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indicates MPA and the reconstruction in blue indicates the clot. Based on the </w:t>
      </w:r>
      <w:r w:rsidR="00F90F23" w:rsidRPr="004F0A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relative location</w:t>
      </w:r>
      <w:r w:rsidR="004F0A5A" w:rsidRPr="004F0A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between the MPA and clot, the clot location is divided into MPA embolism (clot in MPA), saddle-MPA embolism (clot at </w:t>
      </w:r>
      <w:r w:rsidR="004F0A5A" w:rsidRPr="004F0A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bifurcation</w:t>
      </w:r>
      <w:r w:rsidR="004F0A5A" w:rsidRPr="004F0A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of MPA) and non-MPA embolism (clot at p</w:t>
      </w:r>
      <w:r w:rsidR="004F0A5A" w:rsidRPr="004F0A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eripheral</w:t>
      </w:r>
      <w:r w:rsidR="004F0A5A" w:rsidRPr="004F0A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F0A5A" w:rsidRPr="004F0A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pulmonary artery</w:t>
      </w:r>
      <w:r w:rsidR="004F0A5A" w:rsidRPr="004F0A5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).</w:t>
      </w:r>
    </w:p>
    <w:p w14:paraId="22B5FFD5" w14:textId="77777777" w:rsidR="009C1F3E" w:rsidRPr="004F0A5A" w:rsidRDefault="009C1F3E" w:rsidP="004F0A5A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bCs/>
          <w:sz w:val="20"/>
          <w:szCs w:val="20"/>
          <w:lang w:val="en-GB"/>
        </w:rPr>
      </w:pPr>
      <w:r w:rsidRPr="004F0A5A">
        <w:rPr>
          <w:rFonts w:ascii="Times New Roman" w:eastAsia="宋体" w:hAnsi="Times New Roman" w:cs="Times New Roman"/>
          <w:b/>
          <w:bCs/>
          <w:sz w:val="20"/>
          <w:szCs w:val="20"/>
          <w:lang w:val="en-GB"/>
        </w:rPr>
        <w:t>MPA embolism;</w:t>
      </w:r>
    </w:p>
    <w:p w14:paraId="3B244EBE" w14:textId="77777777" w:rsidR="009C1F3E" w:rsidRPr="004F0A5A" w:rsidRDefault="009C1F3E" w:rsidP="004F0A5A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bCs/>
          <w:sz w:val="20"/>
          <w:szCs w:val="20"/>
          <w:lang w:val="en-GB"/>
        </w:rPr>
      </w:pPr>
      <w:r w:rsidRPr="004F0A5A">
        <w:rPr>
          <w:rFonts w:ascii="Times New Roman" w:eastAsia="宋体" w:hAnsi="Times New Roman" w:cs="Times New Roman"/>
          <w:b/>
          <w:bCs/>
          <w:sz w:val="20"/>
          <w:szCs w:val="20"/>
          <w:lang w:val="en-GB"/>
        </w:rPr>
        <w:t>Saddle-MPA embolism;</w:t>
      </w:r>
    </w:p>
    <w:p w14:paraId="7AEDA9FC" w14:textId="77777777" w:rsidR="009C1F3E" w:rsidRPr="004F0A5A" w:rsidRDefault="009C1F3E" w:rsidP="004F0A5A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宋体" w:hAnsi="Times New Roman" w:cs="Times New Roman"/>
          <w:b/>
          <w:bCs/>
          <w:sz w:val="20"/>
          <w:szCs w:val="20"/>
          <w:lang w:val="en-GB"/>
        </w:rPr>
      </w:pPr>
      <w:r w:rsidRPr="004F0A5A">
        <w:rPr>
          <w:rFonts w:ascii="Times New Roman" w:eastAsia="宋体" w:hAnsi="Times New Roman" w:cs="Times New Roman"/>
          <w:b/>
          <w:bCs/>
          <w:sz w:val="20"/>
          <w:szCs w:val="20"/>
          <w:lang w:val="en-GB"/>
        </w:rPr>
        <w:t>non-MPA embolism.</w:t>
      </w:r>
    </w:p>
    <w:p w14:paraId="0A9F1605" w14:textId="77777777" w:rsidR="009C1F3E" w:rsidRPr="004F0A5A" w:rsidRDefault="009C1F3E" w:rsidP="004F0A5A">
      <w:pPr>
        <w:widowControl/>
        <w:spacing w:line="360" w:lineRule="auto"/>
        <w:jc w:val="left"/>
        <w:rPr>
          <w:rFonts w:ascii="Times New Roman" w:eastAsia="宋体" w:hAnsi="Times New Roman" w:cs="Times New Roman"/>
          <w:sz w:val="20"/>
          <w:szCs w:val="20"/>
          <w:lang w:val="en-GB"/>
        </w:rPr>
      </w:pPr>
      <w:r w:rsidRPr="004F0A5A">
        <w:rPr>
          <w:rFonts w:ascii="Times New Roman" w:eastAsia="宋体" w:hAnsi="Times New Roman" w:cs="Times New Roman"/>
          <w:sz w:val="20"/>
          <w:szCs w:val="20"/>
          <w:lang w:val="en-GB"/>
        </w:rPr>
        <w:t>MPA, main pulmonary embolism</w:t>
      </w:r>
    </w:p>
    <w:p w14:paraId="576A0384" w14:textId="77777777" w:rsidR="00E53969" w:rsidRPr="004F0A5A" w:rsidRDefault="00E53969">
      <w:pPr>
        <w:rPr>
          <w:rFonts w:ascii="Times New Roman" w:hAnsi="Times New Roman" w:cs="Times New Roman"/>
          <w:sz w:val="20"/>
          <w:szCs w:val="20"/>
        </w:rPr>
      </w:pPr>
    </w:p>
    <w:sectPr w:rsidR="00E53969" w:rsidRPr="004F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C3DB7" w14:textId="77777777" w:rsidR="00945AF7" w:rsidRDefault="00945AF7" w:rsidP="00F90F23">
      <w:r>
        <w:separator/>
      </w:r>
    </w:p>
  </w:endnote>
  <w:endnote w:type="continuationSeparator" w:id="0">
    <w:p w14:paraId="7E3607DD" w14:textId="77777777" w:rsidR="00945AF7" w:rsidRDefault="00945AF7" w:rsidP="00F9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8FF87" w14:textId="77777777" w:rsidR="00945AF7" w:rsidRDefault="00945AF7" w:rsidP="00F90F23">
      <w:r>
        <w:separator/>
      </w:r>
    </w:p>
  </w:footnote>
  <w:footnote w:type="continuationSeparator" w:id="0">
    <w:p w14:paraId="412A9EC4" w14:textId="77777777" w:rsidR="00945AF7" w:rsidRDefault="00945AF7" w:rsidP="00F9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6266"/>
    <w:multiLevelType w:val="hybridMultilevel"/>
    <w:tmpl w:val="C1B612DA"/>
    <w:lvl w:ilvl="0" w:tplc="C39478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3E"/>
    <w:rsid w:val="00043987"/>
    <w:rsid w:val="001167A7"/>
    <w:rsid w:val="004F0A5A"/>
    <w:rsid w:val="005B0334"/>
    <w:rsid w:val="005C2457"/>
    <w:rsid w:val="00670BE2"/>
    <w:rsid w:val="00945AF7"/>
    <w:rsid w:val="009C1F3E"/>
    <w:rsid w:val="00E53969"/>
    <w:rsid w:val="00F9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9B0F2"/>
  <w15:chartTrackingRefBased/>
  <w15:docId w15:val="{A9E6077E-7399-D84B-B452-E4852C79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3E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5C24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C2457"/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semiHidden/>
    <w:rsid w:val="005C2457"/>
    <w:rPr>
      <w:kern w:val="2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C2457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5C2457"/>
    <w:rPr>
      <w:b/>
      <w:bCs/>
      <w:kern w:val="2"/>
      <w:sz w:val="20"/>
      <w:szCs w:val="20"/>
    </w:rPr>
  </w:style>
  <w:style w:type="paragraph" w:styleId="a9">
    <w:name w:val="Revision"/>
    <w:hidden/>
    <w:uiPriority w:val="99"/>
    <w:semiHidden/>
    <w:rsid w:val="005C245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C2457"/>
    <w:rPr>
      <w:rFonts w:ascii="Times New Roman" w:hAnsi="Times New Roman" w:cs="Times New Roman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C2457"/>
    <w:rPr>
      <w:rFonts w:ascii="Times New Roman" w:hAnsi="Times New Roman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90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F90F23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90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F90F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jiadong0101</cp:lastModifiedBy>
  <cp:revision>6</cp:revision>
  <dcterms:created xsi:type="dcterms:W3CDTF">2020-11-11T09:08:00Z</dcterms:created>
  <dcterms:modified xsi:type="dcterms:W3CDTF">2020-11-12T13:19:00Z</dcterms:modified>
</cp:coreProperties>
</file>