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62FBA" w14:textId="2F0A252F" w:rsidR="0060426B" w:rsidRDefault="0060426B" w:rsidP="0060426B">
      <w:pPr>
        <w:spacing w:line="480" w:lineRule="auto"/>
        <w:jc w:val="center"/>
        <w:rPr>
          <w:b/>
          <w:bCs/>
          <w:lang w:val="en-US"/>
        </w:rPr>
      </w:pPr>
      <w:r w:rsidRPr="004D352D">
        <w:rPr>
          <w:b/>
          <w:bCs/>
          <w:lang w:val="en-US"/>
        </w:rPr>
        <w:t>Prevalence and clinical consequences</w:t>
      </w:r>
      <w:r>
        <w:rPr>
          <w:b/>
          <w:bCs/>
          <w:lang w:val="en-US"/>
        </w:rPr>
        <w:t xml:space="preserve"> of atelectasis in SARS-CoV-2 pneumonia:</w:t>
      </w:r>
    </w:p>
    <w:p w14:paraId="5261C7FD" w14:textId="77777777" w:rsidR="0060426B" w:rsidRPr="00A53CAB" w:rsidRDefault="0060426B" w:rsidP="0060426B">
      <w:pPr>
        <w:spacing w:line="48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</w:t>
      </w:r>
      <w:r w:rsidRPr="00A53CAB">
        <w:rPr>
          <w:b/>
          <w:bCs/>
          <w:lang w:val="en-US"/>
        </w:rPr>
        <w:t xml:space="preserve"> computed tomography retrospective cohort study.</w:t>
      </w:r>
    </w:p>
    <w:p w14:paraId="0C421173" w14:textId="77777777" w:rsidR="0060426B" w:rsidRPr="00E0753D" w:rsidRDefault="0060426B" w:rsidP="0060426B">
      <w:pPr>
        <w:tabs>
          <w:tab w:val="right" w:pos="9020"/>
        </w:tabs>
        <w:spacing w:line="480" w:lineRule="auto"/>
        <w:ind w:left="1276" w:right="1268"/>
        <w:jc w:val="center"/>
        <w:rPr>
          <w:rFonts w:ascii="Calibri" w:eastAsia="Calibri" w:hAnsi="Calibri" w:cs="Calibri"/>
          <w:iCs/>
          <w:sz w:val="21"/>
          <w:szCs w:val="21"/>
        </w:rPr>
      </w:pPr>
      <w:r w:rsidRPr="00E0753D">
        <w:rPr>
          <w:rFonts w:ascii="Calibri" w:eastAsia="Calibri" w:hAnsi="Calibri" w:cs="Calibri"/>
          <w:i/>
          <w:sz w:val="21"/>
          <w:szCs w:val="21"/>
        </w:rPr>
        <w:t>Mingote</w:t>
      </w:r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Lladó</w:t>
      </w:r>
      <w:proofErr w:type="spellEnd"/>
      <w:r w:rsidRPr="00E0753D">
        <w:rPr>
          <w:rFonts w:ascii="Calibri" w:eastAsia="Calibri" w:hAnsi="Calibri" w:cs="Calibri"/>
          <w:i/>
          <w:sz w:val="21"/>
          <w:szCs w:val="21"/>
        </w:rPr>
        <w:t>, A.</w:t>
      </w:r>
      <w:r w:rsidRPr="00E0753D">
        <w:rPr>
          <w:rFonts w:ascii="Calibri" w:eastAsia="Calibri" w:hAnsi="Calibri" w:cs="Calibri"/>
          <w:i/>
          <w:sz w:val="21"/>
          <w:szCs w:val="21"/>
          <w:vertAlign w:val="superscript"/>
        </w:rPr>
        <w:t>1</w:t>
      </w:r>
      <w:r w:rsidRPr="00E0753D">
        <w:rPr>
          <w:rFonts w:ascii="Calibri" w:eastAsia="Calibri" w:hAnsi="Calibri" w:cs="Calibri"/>
          <w:i/>
          <w:sz w:val="21"/>
          <w:szCs w:val="21"/>
        </w:rPr>
        <w:t xml:space="preserve">; </w:t>
      </w:r>
      <w:proofErr w:type="spellStart"/>
      <w:r w:rsidRPr="00E0753D">
        <w:rPr>
          <w:rFonts w:ascii="Calibri" w:eastAsia="Calibri" w:hAnsi="Calibri" w:cs="Calibri"/>
          <w:i/>
          <w:sz w:val="21"/>
          <w:szCs w:val="21"/>
        </w:rPr>
        <w:t>Albajar</w:t>
      </w:r>
      <w:proofErr w:type="spellEnd"/>
      <w:r w:rsidRPr="00E0753D">
        <w:rPr>
          <w:rFonts w:ascii="Calibri" w:eastAsia="Calibri" w:hAnsi="Calibri" w:cs="Calibri"/>
          <w:i/>
          <w:sz w:val="21"/>
          <w:szCs w:val="21"/>
        </w:rPr>
        <w:t>, A.</w:t>
      </w:r>
      <w:r w:rsidRPr="00E0753D">
        <w:rPr>
          <w:rFonts w:ascii="Calibri" w:eastAsia="Calibri" w:hAnsi="Calibri" w:cs="Calibri"/>
          <w:i/>
          <w:sz w:val="21"/>
          <w:szCs w:val="21"/>
          <w:vertAlign w:val="superscript"/>
        </w:rPr>
        <w:t xml:space="preserve"> 1</w:t>
      </w:r>
      <w:r w:rsidRPr="00E0753D">
        <w:rPr>
          <w:rFonts w:ascii="Calibri" w:eastAsia="Calibri" w:hAnsi="Calibri" w:cs="Calibri"/>
          <w:i/>
          <w:sz w:val="21"/>
          <w:szCs w:val="21"/>
        </w:rPr>
        <w:t>; García Benedito, P.</w:t>
      </w:r>
      <w:r w:rsidRPr="00E0753D">
        <w:rPr>
          <w:rFonts w:ascii="Calibri" w:eastAsia="Calibri" w:hAnsi="Calibri" w:cs="Calibri"/>
          <w:i/>
          <w:sz w:val="21"/>
          <w:szCs w:val="21"/>
          <w:vertAlign w:val="superscript"/>
        </w:rPr>
        <w:t>2</w:t>
      </w:r>
      <w:r w:rsidRPr="00E0753D">
        <w:rPr>
          <w:rFonts w:ascii="Calibri" w:eastAsia="Calibri" w:hAnsi="Calibri" w:cs="Calibri"/>
          <w:i/>
          <w:sz w:val="21"/>
          <w:szCs w:val="21"/>
        </w:rPr>
        <w:t>; García-Suárez, J.</w:t>
      </w:r>
      <w:r w:rsidRPr="00E0753D">
        <w:rPr>
          <w:rFonts w:ascii="Calibri" w:eastAsia="Calibri" w:hAnsi="Calibri" w:cs="Calibri"/>
          <w:i/>
          <w:sz w:val="21"/>
          <w:szCs w:val="21"/>
          <w:vertAlign w:val="superscript"/>
        </w:rPr>
        <w:t>1</w:t>
      </w:r>
      <w:r w:rsidRPr="00E0753D">
        <w:rPr>
          <w:rFonts w:ascii="Calibri" w:eastAsia="Calibri" w:hAnsi="Calibri" w:cs="Calibri"/>
          <w:i/>
          <w:sz w:val="21"/>
          <w:szCs w:val="21"/>
        </w:rPr>
        <w:t>;</w:t>
      </w:r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Pelosi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>, P</w:t>
      </w:r>
      <w:r>
        <w:rPr>
          <w:rFonts w:ascii="Calibri" w:eastAsia="Calibri" w:hAnsi="Calibri" w:cs="Calibri"/>
          <w:i/>
          <w:sz w:val="21"/>
          <w:szCs w:val="21"/>
          <w:vertAlign w:val="superscript"/>
        </w:rPr>
        <w:t>,3,</w:t>
      </w:r>
      <w:proofErr w:type="gramStart"/>
      <w:r>
        <w:rPr>
          <w:rFonts w:ascii="Calibri" w:eastAsia="Calibri" w:hAnsi="Calibri" w:cs="Calibri"/>
          <w:i/>
          <w:sz w:val="21"/>
          <w:szCs w:val="21"/>
          <w:vertAlign w:val="superscript"/>
        </w:rPr>
        <w:t>4</w:t>
      </w:r>
      <w:r w:rsidRPr="00E0753D">
        <w:rPr>
          <w:rFonts w:ascii="Calibri" w:eastAsia="Calibri" w:hAnsi="Calibri" w:cs="Calibri"/>
          <w:i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;</w:t>
      </w:r>
      <w:proofErr w:type="gramEnd"/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i/>
          <w:sz w:val="21"/>
          <w:szCs w:val="21"/>
        </w:rPr>
        <w:t>Ball</w:t>
      </w:r>
      <w:proofErr w:type="spellEnd"/>
      <w:r>
        <w:rPr>
          <w:rFonts w:ascii="Calibri" w:eastAsia="Calibri" w:hAnsi="Calibri" w:cs="Calibri"/>
          <w:i/>
          <w:sz w:val="21"/>
          <w:szCs w:val="21"/>
        </w:rPr>
        <w:t>, L</w:t>
      </w:r>
      <w:r>
        <w:rPr>
          <w:rFonts w:ascii="Calibri" w:eastAsia="Calibri" w:hAnsi="Calibri" w:cs="Calibri"/>
          <w:i/>
          <w:sz w:val="21"/>
          <w:szCs w:val="21"/>
          <w:vertAlign w:val="superscript"/>
        </w:rPr>
        <w:t>3,4</w:t>
      </w:r>
      <w:r>
        <w:rPr>
          <w:rFonts w:ascii="Calibri" w:eastAsia="Calibri" w:hAnsi="Calibri" w:cs="Calibri"/>
          <w:i/>
          <w:sz w:val="21"/>
          <w:szCs w:val="21"/>
        </w:rPr>
        <w:t xml:space="preserve">;  </w:t>
      </w:r>
      <w:r w:rsidRPr="00E0753D">
        <w:rPr>
          <w:rFonts w:ascii="Calibri" w:eastAsia="Calibri" w:hAnsi="Calibri" w:cs="Calibri"/>
          <w:i/>
          <w:sz w:val="21"/>
          <w:szCs w:val="21"/>
        </w:rPr>
        <w:t>García-Fernández, J.</w:t>
      </w:r>
      <w:r w:rsidRPr="00E0753D">
        <w:rPr>
          <w:rFonts w:ascii="Calibri" w:eastAsia="Calibri" w:hAnsi="Calibri" w:cs="Calibri"/>
          <w:iCs/>
          <w:sz w:val="21"/>
          <w:szCs w:val="21"/>
          <w:vertAlign w:val="superscript"/>
        </w:rPr>
        <w:t xml:space="preserve"> 1,</w:t>
      </w:r>
      <w:r>
        <w:rPr>
          <w:rFonts w:ascii="Calibri" w:eastAsia="Calibri" w:hAnsi="Calibri" w:cs="Calibri"/>
          <w:iCs/>
          <w:sz w:val="21"/>
          <w:szCs w:val="21"/>
          <w:vertAlign w:val="superscript"/>
        </w:rPr>
        <w:t>5</w:t>
      </w:r>
      <w:r w:rsidRPr="00E0753D">
        <w:rPr>
          <w:rFonts w:ascii="Calibri" w:eastAsia="Calibri" w:hAnsi="Calibri" w:cs="Calibri"/>
          <w:i/>
          <w:sz w:val="21"/>
          <w:szCs w:val="21"/>
        </w:rPr>
        <w:t xml:space="preserve"> </w:t>
      </w:r>
    </w:p>
    <w:p w14:paraId="5DA428C4" w14:textId="77777777" w:rsidR="0060426B" w:rsidRPr="00E0753D" w:rsidRDefault="0060426B" w:rsidP="0060426B">
      <w:pPr>
        <w:spacing w:line="48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753D">
        <w:rPr>
          <w:rFonts w:asciiTheme="minorHAnsi" w:eastAsia="Calibri" w:hAnsiTheme="minorHAnsi" w:cstheme="minorHAnsi"/>
          <w:iCs/>
          <w:color w:val="000000" w:themeColor="text1"/>
          <w:sz w:val="21"/>
          <w:szCs w:val="21"/>
          <w:vertAlign w:val="superscript"/>
        </w:rPr>
        <w:t>1</w:t>
      </w:r>
      <w:r w:rsidRPr="00E0753D">
        <w:rPr>
          <w:rFonts w:asciiTheme="minorHAnsi" w:eastAsia="Calibri" w:hAnsiTheme="minorHAnsi" w:cstheme="minorHAnsi"/>
          <w:iCs/>
          <w:color w:val="000000" w:themeColor="text1"/>
          <w:sz w:val="21"/>
          <w:szCs w:val="21"/>
        </w:rPr>
        <w:t xml:space="preserve"> </w:t>
      </w:r>
      <w:proofErr w:type="spellStart"/>
      <w:r w:rsidRPr="00E0753D">
        <w:rPr>
          <w:rFonts w:asciiTheme="minorHAnsi" w:hAnsiTheme="minorHAnsi" w:cstheme="minorHAnsi"/>
          <w:color w:val="000000" w:themeColor="text1"/>
          <w:sz w:val="21"/>
          <w:szCs w:val="21"/>
        </w:rPr>
        <w:t>Anaesthesia</w:t>
      </w:r>
      <w:proofErr w:type="spellEnd"/>
      <w:r w:rsidRPr="00E0753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proofErr w:type="spellStart"/>
      <w:r w:rsidRPr="00E0753D">
        <w:rPr>
          <w:rFonts w:asciiTheme="minorHAnsi" w:hAnsiTheme="minorHAnsi" w:cstheme="minorHAnsi"/>
          <w:color w:val="000000" w:themeColor="text1"/>
          <w:sz w:val="21"/>
          <w:szCs w:val="21"/>
        </w:rPr>
        <w:t>Critical</w:t>
      </w:r>
      <w:proofErr w:type="spellEnd"/>
      <w:r w:rsidRPr="00E0753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E0753D">
        <w:rPr>
          <w:rFonts w:asciiTheme="minorHAnsi" w:hAnsiTheme="minorHAnsi" w:cstheme="minorHAnsi"/>
          <w:color w:val="000000" w:themeColor="text1"/>
          <w:sz w:val="21"/>
          <w:szCs w:val="21"/>
        </w:rPr>
        <w:t>Care</w:t>
      </w:r>
      <w:proofErr w:type="spellEnd"/>
      <w:r w:rsidRPr="00E0753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E0753D">
        <w:rPr>
          <w:rFonts w:asciiTheme="minorHAnsi" w:hAnsiTheme="minorHAnsi" w:cstheme="minorHAnsi"/>
          <w:color w:val="000000" w:themeColor="text1"/>
          <w:sz w:val="21"/>
          <w:szCs w:val="21"/>
        </w:rPr>
        <w:t>Department</w:t>
      </w:r>
      <w:proofErr w:type="spellEnd"/>
      <w:r w:rsidRPr="00E0753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and </w:t>
      </w:r>
      <w:proofErr w:type="spellStart"/>
      <w:r w:rsidRPr="00E0753D">
        <w:rPr>
          <w:rFonts w:asciiTheme="minorHAnsi" w:hAnsiTheme="minorHAnsi" w:cstheme="minorHAnsi"/>
          <w:color w:val="000000" w:themeColor="text1"/>
          <w:sz w:val="21"/>
          <w:szCs w:val="21"/>
        </w:rPr>
        <w:t>Pain</w:t>
      </w:r>
      <w:proofErr w:type="spellEnd"/>
      <w:r w:rsidRPr="00E0753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E0753D">
        <w:rPr>
          <w:rFonts w:asciiTheme="minorHAnsi" w:hAnsiTheme="minorHAnsi" w:cstheme="minorHAnsi"/>
          <w:color w:val="000000" w:themeColor="text1"/>
          <w:sz w:val="21"/>
          <w:szCs w:val="21"/>
        </w:rPr>
        <w:t>Unit</w:t>
      </w:r>
      <w:proofErr w:type="spellEnd"/>
      <w:r w:rsidRPr="00E0753D">
        <w:rPr>
          <w:rFonts w:asciiTheme="minorHAnsi" w:hAnsiTheme="minorHAnsi" w:cstheme="minorHAnsi"/>
          <w:color w:val="000000" w:themeColor="text1"/>
          <w:sz w:val="21"/>
          <w:szCs w:val="21"/>
        </w:rPr>
        <w:t>, Puerta de Hierro </w:t>
      </w:r>
      <w:proofErr w:type="spellStart"/>
      <w:r w:rsidRPr="00E0753D">
        <w:rPr>
          <w:rFonts w:asciiTheme="minorHAnsi" w:hAnsiTheme="minorHAnsi" w:cstheme="minorHAnsi"/>
          <w:color w:val="000000" w:themeColor="text1"/>
          <w:sz w:val="21"/>
          <w:szCs w:val="21"/>
        </w:rPr>
        <w:t>Universitary</w:t>
      </w:r>
      <w:proofErr w:type="spellEnd"/>
      <w:r w:rsidRPr="00E0753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Hospital -Majadahonda, Madrid - </w:t>
      </w:r>
      <w:proofErr w:type="spellStart"/>
      <w:r w:rsidRPr="00E0753D">
        <w:rPr>
          <w:rFonts w:asciiTheme="minorHAnsi" w:hAnsiTheme="minorHAnsi" w:cstheme="minorHAnsi"/>
          <w:color w:val="000000" w:themeColor="text1"/>
          <w:sz w:val="21"/>
          <w:szCs w:val="21"/>
        </w:rPr>
        <w:t>Spain</w:t>
      </w:r>
      <w:proofErr w:type="spellEnd"/>
      <w:r w:rsidRPr="00E0753D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7DBCC5AF" w14:textId="77777777" w:rsidR="0060426B" w:rsidRDefault="0060426B" w:rsidP="0060426B">
      <w:pPr>
        <w:spacing w:line="48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E0753D">
        <w:rPr>
          <w:rFonts w:asciiTheme="minorHAnsi" w:hAnsiTheme="minorHAnsi" w:cstheme="minorHAnsi"/>
          <w:color w:val="000000" w:themeColor="text1"/>
          <w:sz w:val="21"/>
          <w:szCs w:val="21"/>
          <w:vertAlign w:val="superscript"/>
        </w:rPr>
        <w:t>2</w:t>
      </w:r>
      <w:r w:rsidRPr="00E0753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E0753D">
        <w:rPr>
          <w:rFonts w:asciiTheme="minorHAnsi" w:hAnsiTheme="minorHAnsi" w:cstheme="minorHAnsi"/>
          <w:color w:val="000000" w:themeColor="text1"/>
          <w:sz w:val="21"/>
          <w:szCs w:val="21"/>
        </w:rPr>
        <w:t>Radiodiagnostic</w:t>
      </w:r>
      <w:proofErr w:type="spellEnd"/>
      <w:r w:rsidRPr="00E0753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proofErr w:type="spellStart"/>
      <w:r w:rsidRPr="00E0753D">
        <w:rPr>
          <w:rFonts w:asciiTheme="minorHAnsi" w:hAnsiTheme="minorHAnsi" w:cstheme="minorHAnsi"/>
          <w:color w:val="000000" w:themeColor="text1"/>
          <w:sz w:val="21"/>
          <w:szCs w:val="21"/>
        </w:rPr>
        <w:t>Unit</w:t>
      </w:r>
      <w:proofErr w:type="spellEnd"/>
      <w:r w:rsidRPr="00E0753D">
        <w:rPr>
          <w:rFonts w:asciiTheme="minorHAnsi" w:hAnsiTheme="minorHAnsi" w:cstheme="minorHAnsi"/>
          <w:color w:val="000000" w:themeColor="text1"/>
          <w:sz w:val="21"/>
          <w:szCs w:val="21"/>
        </w:rPr>
        <w:t>, Puerta de Hierro </w:t>
      </w:r>
      <w:proofErr w:type="spellStart"/>
      <w:r w:rsidRPr="00E0753D">
        <w:rPr>
          <w:rFonts w:asciiTheme="minorHAnsi" w:hAnsiTheme="minorHAnsi" w:cstheme="minorHAnsi"/>
          <w:color w:val="000000" w:themeColor="text1"/>
          <w:sz w:val="21"/>
          <w:szCs w:val="21"/>
        </w:rPr>
        <w:t>Universitary</w:t>
      </w:r>
      <w:proofErr w:type="spellEnd"/>
      <w:r w:rsidRPr="00E0753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Hospital – Majadahonda, Madrid - </w:t>
      </w:r>
      <w:proofErr w:type="spellStart"/>
      <w:r w:rsidRPr="00E0753D">
        <w:rPr>
          <w:rFonts w:asciiTheme="minorHAnsi" w:hAnsiTheme="minorHAnsi" w:cstheme="minorHAnsi"/>
          <w:color w:val="000000" w:themeColor="text1"/>
          <w:sz w:val="21"/>
          <w:szCs w:val="21"/>
        </w:rPr>
        <w:t>Spain</w:t>
      </w:r>
      <w:proofErr w:type="spellEnd"/>
      <w:r w:rsidRPr="00E0753D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4DF8CCA6" w14:textId="77777777" w:rsidR="0060426B" w:rsidRPr="00B33C11" w:rsidRDefault="0060426B" w:rsidP="0060426B">
      <w:pPr>
        <w:spacing w:line="48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  <w:vertAlign w:val="superscript"/>
          <w:lang w:val="en-US"/>
        </w:rPr>
        <w:t xml:space="preserve">3 </w:t>
      </w:r>
      <w:r w:rsidRPr="00B33C11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Department of Surgical Sciences and Integrated Diagnostics, University of Genoa, Genoa, Italy</w:t>
      </w:r>
    </w:p>
    <w:p w14:paraId="5CCFE2BB" w14:textId="77777777" w:rsidR="0060426B" w:rsidRDefault="0060426B" w:rsidP="0060426B">
      <w:pPr>
        <w:spacing w:line="48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  <w:vertAlign w:val="superscript"/>
          <w:lang w:val="en-US"/>
        </w:rPr>
        <w:t>4</w:t>
      </w:r>
      <w:r w:rsidRPr="00B33C11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 Anesthesia and Critical Care, San Martino </w:t>
      </w:r>
      <w:proofErr w:type="spellStart"/>
      <w:r w:rsidRPr="00B33C11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Policlinico</w:t>
      </w:r>
      <w:proofErr w:type="spellEnd"/>
      <w:r w:rsidRPr="00B33C11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 Hospital, IRCCS for Oncology and Neurosciences, Genoa, Italy</w:t>
      </w:r>
    </w:p>
    <w:p w14:paraId="2E3A0563" w14:textId="77777777" w:rsidR="0060426B" w:rsidRPr="009B02CC" w:rsidRDefault="0060426B" w:rsidP="0060426B">
      <w:pPr>
        <w:spacing w:line="48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  <w:vertAlign w:val="superscript"/>
          <w:lang w:val="en-US"/>
        </w:rPr>
        <w:t>5</w:t>
      </w:r>
      <w:r w:rsidRPr="009B02CC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Autonomous</w:t>
      </w:r>
      <w:r w:rsidRPr="009B02CC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 University of Madrid, Madrid, Spain.</w:t>
      </w:r>
    </w:p>
    <w:p w14:paraId="02ED7E8F" w14:textId="295A26B2" w:rsidR="0060426B" w:rsidRDefault="0060426B" w:rsidP="0060426B">
      <w:pPr>
        <w:spacing w:line="48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</w:pPr>
      <w:r w:rsidRPr="009B02CC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Correspondence: Álvaro </w:t>
      </w:r>
      <w:proofErr w:type="spellStart"/>
      <w:r w:rsidRPr="009B02CC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Mingote</w:t>
      </w:r>
      <w:proofErr w:type="spellEnd"/>
      <w:r w:rsidRPr="009B02CC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9B02CC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Lladó</w:t>
      </w:r>
      <w:proofErr w:type="spellEnd"/>
      <w:r w:rsidRPr="009B02CC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, </w:t>
      </w:r>
      <w:proofErr w:type="spellStart"/>
      <w:r w:rsidRPr="009B02CC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Anaesthesia</w:t>
      </w:r>
      <w:proofErr w:type="spellEnd"/>
      <w:r w:rsidRPr="009B02CC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, Critical Care Department and Pain Unit in </w:t>
      </w:r>
      <w:r w:rsidRPr="00651E01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Puerta de </w:t>
      </w:r>
      <w:proofErr w:type="spellStart"/>
      <w:r w:rsidRPr="00651E01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Hierro</w:t>
      </w:r>
      <w:proofErr w:type="spellEnd"/>
      <w:r w:rsidRPr="00651E01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 </w:t>
      </w:r>
      <w:proofErr w:type="spellStart"/>
      <w:r w:rsidRPr="00651E01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Universitary</w:t>
      </w:r>
      <w:proofErr w:type="spellEnd"/>
      <w:r w:rsidRPr="00651E01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 Hospital – </w:t>
      </w:r>
      <w:proofErr w:type="spellStart"/>
      <w:proofErr w:type="gramStart"/>
      <w:r w:rsidRPr="00651E01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Majadahonda</w:t>
      </w:r>
      <w:proofErr w:type="spellEnd"/>
      <w:r w:rsidRPr="009B02CC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.</w:t>
      </w:r>
      <w:proofErr w:type="gramEnd"/>
      <w: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 c/</w:t>
      </w:r>
      <w:r w:rsidRPr="009B02CC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Manuel de </w:t>
      </w:r>
      <w:proofErr w:type="spellStart"/>
      <w:r w:rsidRPr="009B02CC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Falla</w:t>
      </w:r>
      <w:proofErr w:type="spellEnd"/>
      <w:r w:rsidRPr="009B02CC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, 1. </w:t>
      </w:r>
      <w:r w:rsidRPr="009E7680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28222 Madrid, Spain. e-Mail: </w:t>
      </w:r>
      <w:hyperlink r:id="rId7" w:history="1">
        <w:r w:rsidRPr="00B74EC2">
          <w:rPr>
            <w:rStyle w:val="Hipervnculo"/>
            <w:rFonts w:asciiTheme="minorHAnsi" w:hAnsiTheme="minorHAnsi" w:cstheme="minorHAnsi"/>
            <w:sz w:val="21"/>
            <w:szCs w:val="21"/>
            <w:lang w:val="en-US"/>
          </w:rPr>
          <w:t>alvaro.mingote.llado@gmail.com</w:t>
        </w:r>
      </w:hyperlink>
    </w:p>
    <w:p w14:paraId="028B3304" w14:textId="3130C458" w:rsidR="0060426B" w:rsidRDefault="0060426B" w:rsidP="0060426B">
      <w:pPr>
        <w:spacing w:line="48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</w:pPr>
    </w:p>
    <w:p w14:paraId="36E93E09" w14:textId="2CFDB67D" w:rsidR="0060426B" w:rsidRDefault="0060426B" w:rsidP="0060426B">
      <w:pPr>
        <w:spacing w:line="48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</w:pPr>
    </w:p>
    <w:p w14:paraId="1C4E9D5F" w14:textId="77777777" w:rsidR="0060426B" w:rsidRDefault="0060426B" w:rsidP="0060426B">
      <w:pPr>
        <w:spacing w:line="48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</w:pPr>
    </w:p>
    <w:p w14:paraId="4CA2F43F" w14:textId="68235D2A" w:rsidR="0060426B" w:rsidRPr="0060426B" w:rsidRDefault="0060426B" w:rsidP="0060426B">
      <w:pPr>
        <w:jc w:val="center"/>
        <w:rPr>
          <w:rFonts w:asciiTheme="minorHAnsi" w:hAnsiTheme="minorHAnsi" w:cstheme="minorHAnsi"/>
          <w:color w:val="FF0000"/>
          <w:sz w:val="36"/>
          <w:szCs w:val="36"/>
          <w:lang w:val="en-US"/>
        </w:rPr>
      </w:pPr>
      <w:r w:rsidRPr="0060426B">
        <w:rPr>
          <w:rFonts w:asciiTheme="minorHAnsi" w:hAnsiTheme="minorHAnsi" w:cstheme="minorHAnsi"/>
          <w:color w:val="FF0000"/>
          <w:sz w:val="36"/>
          <w:szCs w:val="36"/>
          <w:lang w:val="en-US"/>
        </w:rPr>
        <w:t>SUPPLEMENTARY MATERIAL</w:t>
      </w:r>
    </w:p>
    <w:p w14:paraId="699B856E" w14:textId="77777777" w:rsidR="0060426B" w:rsidRPr="009E7680" w:rsidRDefault="0060426B" w:rsidP="0060426B">
      <w:pPr>
        <w:spacing w:line="48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</w:pPr>
    </w:p>
    <w:p w14:paraId="4F7837EC" w14:textId="6C1CF463" w:rsidR="0060426B" w:rsidRDefault="0060426B">
      <w:pPr>
        <w:rPr>
          <w:rFonts w:ascii="Calibri" w:eastAsia="Calibri" w:hAnsi="Calibri" w:cs="Calibri"/>
          <w:b/>
          <w:color w:val="C00000"/>
          <w:sz w:val="22"/>
          <w:szCs w:val="22"/>
          <w:u w:val="single"/>
          <w:lang w:val="en-US"/>
        </w:rPr>
      </w:pPr>
    </w:p>
    <w:p w14:paraId="0B6E8111" w14:textId="77777777" w:rsidR="0060426B" w:rsidRDefault="0060426B">
      <w:pPr>
        <w:rPr>
          <w:rFonts w:ascii="Calibri" w:eastAsia="Calibri" w:hAnsi="Calibri" w:cs="Calibri"/>
          <w:b/>
          <w:color w:val="C00000"/>
          <w:sz w:val="22"/>
          <w:szCs w:val="22"/>
          <w:u w:val="single"/>
          <w:lang w:val="en-US"/>
        </w:rPr>
      </w:pPr>
      <w:r>
        <w:rPr>
          <w:rFonts w:ascii="Calibri" w:eastAsia="Calibri" w:hAnsi="Calibri" w:cs="Calibri"/>
          <w:b/>
          <w:color w:val="C00000"/>
          <w:sz w:val="22"/>
          <w:szCs w:val="22"/>
          <w:u w:val="single"/>
          <w:lang w:val="en-US"/>
        </w:rPr>
        <w:br w:type="page"/>
      </w:r>
    </w:p>
    <w:p w14:paraId="11AC1ED3" w14:textId="2FB9F165" w:rsidR="00B61458" w:rsidRPr="00AE2C63" w:rsidRDefault="00B61458" w:rsidP="00B614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C00000"/>
          <w:sz w:val="22"/>
          <w:szCs w:val="22"/>
          <w:u w:val="single"/>
          <w:lang w:val="en-US"/>
        </w:rPr>
      </w:pPr>
      <w:r>
        <w:rPr>
          <w:rFonts w:ascii="Calibri" w:eastAsia="Calibri" w:hAnsi="Calibri" w:cs="Calibri"/>
          <w:b/>
          <w:color w:val="C00000"/>
          <w:sz w:val="22"/>
          <w:szCs w:val="22"/>
          <w:u w:val="single"/>
          <w:lang w:val="en-US"/>
        </w:rPr>
        <w:lastRenderedPageBreak/>
        <w:t>APPENDIX</w:t>
      </w:r>
    </w:p>
    <w:p w14:paraId="13273A14" w14:textId="77777777" w:rsidR="00B61458" w:rsidRPr="00AE2C63" w:rsidRDefault="00B61458" w:rsidP="00B614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  <w:lang w:val="en-US"/>
        </w:rPr>
      </w:pPr>
      <w:r w:rsidRPr="00C82119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  <w:lang w:val="en-US"/>
        </w:rPr>
        <w:t>Appendix I: Scores used in the present study</w:t>
      </w:r>
    </w:p>
    <w:p w14:paraId="62EBD84C" w14:textId="77777777" w:rsidR="00B61458" w:rsidRPr="00AE2C63" w:rsidRDefault="00B61458" w:rsidP="00B61458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</w:pPr>
      <w:r w:rsidRPr="00AE2C63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CURB65 (from Barlow et al.): </w:t>
      </w:r>
    </w:p>
    <w:p w14:paraId="0CD5BCF2" w14:textId="77777777" w:rsidR="00B61458" w:rsidRPr="00C82119" w:rsidRDefault="00B61458" w:rsidP="00B614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C82119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Based on the presence or absence of the following criteria (1 point per each): </w:t>
      </w:r>
    </w:p>
    <w:p w14:paraId="7EBE4183" w14:textId="77777777" w:rsidR="00B61458" w:rsidRPr="00C82119" w:rsidRDefault="00B61458" w:rsidP="00B614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C82119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New confusion </w:t>
      </w:r>
    </w:p>
    <w:p w14:paraId="63E4483B" w14:textId="77777777" w:rsidR="00B61458" w:rsidRPr="00C82119" w:rsidRDefault="00B61458" w:rsidP="00B614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C82119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Urea .7 mmol/l</w:t>
      </w:r>
    </w:p>
    <w:p w14:paraId="47B3F333" w14:textId="77777777" w:rsidR="00B61458" w:rsidRPr="00C82119" w:rsidRDefault="00B61458" w:rsidP="00B614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C82119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 Respiratory rate &gt;30/min</w:t>
      </w:r>
    </w:p>
    <w:p w14:paraId="5D85B75A" w14:textId="77777777" w:rsidR="00B61458" w:rsidRPr="00C82119" w:rsidRDefault="00B61458" w:rsidP="00B614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C82119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 Systolic blood pressure &lt; 90 mm Hg or diastolic blood pressure &lt; 60 mm Hg </w:t>
      </w:r>
    </w:p>
    <w:p w14:paraId="6DD7F100" w14:textId="77777777" w:rsidR="00B61458" w:rsidRPr="00C82119" w:rsidRDefault="00B61458" w:rsidP="00B614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C82119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 Age &gt;65 years</w:t>
      </w:r>
    </w:p>
    <w:p w14:paraId="10459021" w14:textId="77777777" w:rsidR="00B61458" w:rsidRPr="00C82119" w:rsidRDefault="00B61458" w:rsidP="00B614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57B6F0AB" w14:textId="77777777" w:rsidR="00B61458" w:rsidRPr="00C82119" w:rsidRDefault="00B61458" w:rsidP="00B614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C82119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Depending on the score, the </w:t>
      </w:r>
      <w:r w:rsidRPr="00AE2C63">
        <w:rPr>
          <w:rFonts w:ascii="Calibri" w:eastAsia="Calibri" w:hAnsi="Calibri" w:cs="Calibri"/>
          <w:i/>
          <w:iCs/>
          <w:color w:val="000000"/>
          <w:sz w:val="22"/>
          <w:szCs w:val="22"/>
          <w:lang w:val="en-US"/>
        </w:rPr>
        <w:t>patient may be classified as</w:t>
      </w:r>
      <w:r w:rsidRPr="00C82119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: </w:t>
      </w:r>
    </w:p>
    <w:p w14:paraId="203BB02E" w14:textId="77777777" w:rsidR="00B61458" w:rsidRPr="00C82119" w:rsidRDefault="00B61458" w:rsidP="00B614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C82119">
        <w:rPr>
          <w:rFonts w:ascii="Calibri" w:eastAsia="Calibri" w:hAnsi="Calibri" w:cs="Calibri"/>
          <w:color w:val="000000"/>
          <w:sz w:val="22"/>
          <w:szCs w:val="22"/>
          <w:lang w:val="en-US"/>
        </w:rPr>
        <w:t>Severe = 3 or more points.</w:t>
      </w:r>
    </w:p>
    <w:p w14:paraId="2CE2A94E" w14:textId="77777777" w:rsidR="00B61458" w:rsidRPr="00C82119" w:rsidRDefault="00B61458" w:rsidP="00B614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C82119">
        <w:rPr>
          <w:rFonts w:ascii="Calibri" w:eastAsia="Calibri" w:hAnsi="Calibri" w:cs="Calibri"/>
          <w:color w:val="000000"/>
          <w:sz w:val="22"/>
          <w:szCs w:val="22"/>
          <w:lang w:val="en-US"/>
        </w:rPr>
        <w:t>Non-severe (moderate risk) = 2 points.</w:t>
      </w:r>
    </w:p>
    <w:p w14:paraId="0E85F1F3" w14:textId="77777777" w:rsidR="00B61458" w:rsidRPr="00C82119" w:rsidRDefault="00B61458" w:rsidP="00B614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C82119">
        <w:rPr>
          <w:rFonts w:ascii="Calibri" w:eastAsia="Calibri" w:hAnsi="Calibri" w:cs="Calibri"/>
          <w:color w:val="000000"/>
          <w:sz w:val="22"/>
          <w:szCs w:val="22"/>
          <w:lang w:val="en-US"/>
        </w:rPr>
        <w:t>Non-severe (low risk) = 0 or 1 point.</w:t>
      </w:r>
    </w:p>
    <w:p w14:paraId="439FBE3C" w14:textId="77777777" w:rsidR="00B61458" w:rsidRPr="00C82119" w:rsidRDefault="00B61458" w:rsidP="00B614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4F81BD"/>
          <w:sz w:val="22"/>
          <w:szCs w:val="22"/>
          <w:lang w:val="en-US"/>
        </w:rPr>
      </w:pPr>
    </w:p>
    <w:p w14:paraId="6251DE29" w14:textId="34DE4BE5" w:rsidR="00B61458" w:rsidRPr="00CF7EF1" w:rsidRDefault="00B61458" w:rsidP="00CF7EF1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</w:pPr>
      <w:r w:rsidRPr="00AE2C63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>Radiological severity COVID19 scale (</w:t>
      </w:r>
      <w:r w:rsidR="00950C61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>based on</w:t>
      </w:r>
      <w:r w:rsidRPr="00AE2C63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 </w:t>
      </w:r>
      <w:r w:rsidR="00CF7EF1" w:rsidRPr="00CF7EF1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>Pan F</w:t>
      </w:r>
      <w:r w:rsidRPr="00CF7EF1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 xml:space="preserve">. et al): </w:t>
      </w:r>
    </w:p>
    <w:p w14:paraId="3DF9061C" w14:textId="2D84E9C2" w:rsidR="00CF7EF1" w:rsidRDefault="00CF7EF1" w:rsidP="00CF7E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CF7EF1">
        <w:rPr>
          <w:rFonts w:ascii="Calibri" w:eastAsia="Calibri" w:hAnsi="Calibri" w:cs="Calibri"/>
          <w:color w:val="000000"/>
          <w:sz w:val="22"/>
          <w:szCs w:val="22"/>
          <w:lang w:val="en-US"/>
        </w:rPr>
        <w:t>A semi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-</w:t>
      </w:r>
      <w:r w:rsidRPr="00CF7EF1">
        <w:rPr>
          <w:rFonts w:ascii="Calibri" w:eastAsia="Calibri" w:hAnsi="Calibri" w:cs="Calibri"/>
          <w:color w:val="000000"/>
          <w:sz w:val="22"/>
          <w:szCs w:val="22"/>
          <w:lang w:val="en-US"/>
        </w:rPr>
        <w:t>quantitative scoring system</w:t>
      </w:r>
      <w:r w:rsidR="009A5A88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by Pan F et al.</w:t>
      </w:r>
      <w:r w:rsidRPr="00CF7EF1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was used to estimate the pulmonary involvement of all these abnormalities </w:t>
      </w:r>
      <w:proofErr w:type="gramStart"/>
      <w:r w:rsidRPr="00CF7EF1">
        <w:rPr>
          <w:rFonts w:ascii="Calibri" w:eastAsia="Calibri" w:hAnsi="Calibri" w:cs="Calibri"/>
          <w:color w:val="000000"/>
          <w:sz w:val="22"/>
          <w:szCs w:val="22"/>
          <w:lang w:val="en-US"/>
        </w:rPr>
        <w:t>on the basis of</w:t>
      </w:r>
      <w:proofErr w:type="gramEnd"/>
      <w:r w:rsidRPr="00CF7EF1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the area involved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, based on the chest CT findings described by Wong KT et al in 2003 and 2004. </w:t>
      </w:r>
      <w:r w:rsidRPr="00CF7EF1">
        <w:rPr>
          <w:rFonts w:ascii="Calibri" w:eastAsia="Calibri" w:hAnsi="Calibri" w:cs="Calibri"/>
          <w:color w:val="000000"/>
          <w:sz w:val="22"/>
          <w:szCs w:val="22"/>
          <w:lang w:val="en-US"/>
        </w:rPr>
        <w:t>Each of the five lung lobes was visually scored on a scale of 0 to 5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:</w:t>
      </w:r>
    </w:p>
    <w:p w14:paraId="156C476D" w14:textId="77777777" w:rsidR="00CF7EF1" w:rsidRDefault="00CF7EF1" w:rsidP="00CF7E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CF7EF1">
        <w:rPr>
          <w:rFonts w:ascii="Calibri" w:eastAsia="Calibri" w:hAnsi="Calibri" w:cs="Calibri"/>
          <w:color w:val="000000"/>
          <w:sz w:val="22"/>
          <w:szCs w:val="22"/>
          <w:lang w:val="en-US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:</w:t>
      </w:r>
      <w:r w:rsidRPr="00CF7EF1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no involvement</w:t>
      </w:r>
    </w:p>
    <w:p w14:paraId="75FCDF9C" w14:textId="77777777" w:rsidR="00CF7EF1" w:rsidRDefault="00CF7EF1" w:rsidP="00CF7E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CF7EF1">
        <w:rPr>
          <w:rFonts w:ascii="Calibri" w:eastAsia="Calibri" w:hAnsi="Calibri" w:cs="Calibri"/>
          <w:color w:val="000000"/>
          <w:sz w:val="22"/>
          <w:szCs w:val="22"/>
          <w:lang w:val="en-US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:</w:t>
      </w:r>
      <w:r w:rsidRPr="00CF7EF1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less than 5% involvement</w:t>
      </w:r>
    </w:p>
    <w:p w14:paraId="011B5AAA" w14:textId="77777777" w:rsidR="00CF7EF1" w:rsidRDefault="00CF7EF1" w:rsidP="00CF7E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CF7EF1">
        <w:rPr>
          <w:rFonts w:ascii="Calibri" w:eastAsia="Calibri" w:hAnsi="Calibri" w:cs="Calibri"/>
          <w:color w:val="000000"/>
          <w:sz w:val="22"/>
          <w:szCs w:val="22"/>
          <w:lang w:val="en-US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:</w:t>
      </w:r>
      <w:r w:rsidRPr="00CF7EF1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5%–25% involvement</w:t>
      </w:r>
    </w:p>
    <w:p w14:paraId="1171C9F5" w14:textId="77777777" w:rsidR="00CF7EF1" w:rsidRDefault="00CF7EF1" w:rsidP="00CF7E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CF7EF1">
        <w:rPr>
          <w:rFonts w:ascii="Calibri" w:eastAsia="Calibri" w:hAnsi="Calibri" w:cs="Calibri"/>
          <w:color w:val="000000"/>
          <w:sz w:val="22"/>
          <w:szCs w:val="22"/>
          <w:lang w:val="en-US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:</w:t>
      </w:r>
      <w:r w:rsidRPr="00CF7EF1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26%–49% involvement </w:t>
      </w:r>
    </w:p>
    <w:p w14:paraId="555D7733" w14:textId="77777777" w:rsidR="00CF7EF1" w:rsidRDefault="00CF7EF1" w:rsidP="00CF7E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CF7EF1">
        <w:rPr>
          <w:rFonts w:ascii="Calibri" w:eastAsia="Calibri" w:hAnsi="Calibri" w:cs="Calibri"/>
          <w:color w:val="000000"/>
          <w:sz w:val="22"/>
          <w:szCs w:val="22"/>
          <w:lang w:val="en-US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:</w:t>
      </w:r>
      <w:r w:rsidRPr="00CF7EF1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50%– 75% involvement</w:t>
      </w:r>
    </w:p>
    <w:p w14:paraId="7DB2B188" w14:textId="77777777" w:rsidR="00CF7EF1" w:rsidRDefault="00CF7EF1" w:rsidP="00CF7E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CF7EF1">
        <w:rPr>
          <w:rFonts w:ascii="Calibri" w:eastAsia="Calibri" w:hAnsi="Calibri" w:cs="Calibri"/>
          <w:color w:val="000000"/>
          <w:sz w:val="22"/>
          <w:szCs w:val="22"/>
          <w:lang w:val="en-US"/>
        </w:rPr>
        <w:t>5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:</w:t>
      </w:r>
      <w:r w:rsidRPr="00CF7EF1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more than 75% involvement. </w:t>
      </w:r>
    </w:p>
    <w:p w14:paraId="1D3324AF" w14:textId="5F90B47B" w:rsidR="00CF7EF1" w:rsidRPr="00CF7EF1" w:rsidRDefault="00CF7EF1" w:rsidP="00CF7E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CF7EF1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The total CT score was the sum of the individual lobar scores and ranged from 0 (no involvement) to 25 (maximum involvement). </w:t>
      </w:r>
    </w:p>
    <w:p w14:paraId="15C85ABD" w14:textId="77777777" w:rsidR="00B61458" w:rsidRPr="00AE2C63" w:rsidRDefault="00B61458" w:rsidP="00B61458">
      <w:p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424DBE21" w14:textId="77777777" w:rsidR="00B61458" w:rsidRDefault="00B61458" w:rsidP="00B61458">
      <w:pPr>
        <w:rPr>
          <w:rFonts w:ascii="Calibri" w:eastAsia="Calibri" w:hAnsi="Calibri" w:cs="Calibri"/>
          <w:sz w:val="22"/>
          <w:szCs w:val="22"/>
          <w:lang w:val="en-US"/>
        </w:rPr>
      </w:pPr>
    </w:p>
    <w:p w14:paraId="3B83DE0B" w14:textId="21B25979" w:rsidR="00B61458" w:rsidRPr="00AE2C63" w:rsidRDefault="00B61458" w:rsidP="00B614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  <w:lang w:val="en-US"/>
        </w:rPr>
      </w:pPr>
      <w:r w:rsidRPr="00C82119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  <w:lang w:val="en-US"/>
        </w:rPr>
        <w:lastRenderedPageBreak/>
        <w:t>Appendix I</w:t>
      </w:r>
      <w:r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  <w:lang w:val="en-US"/>
        </w:rPr>
        <w:t>I</w:t>
      </w:r>
      <w:r w:rsidRPr="00C82119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  <w:lang w:val="en-US"/>
        </w:rPr>
        <w:t xml:space="preserve">: </w:t>
      </w:r>
      <w:r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  <w:lang w:val="en-US"/>
        </w:rPr>
        <w:t>In hospital m</w:t>
      </w:r>
      <w:r w:rsidRPr="00C82119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  <w:lang w:val="en-US"/>
        </w:rPr>
        <w:t xml:space="preserve">ortality, </w:t>
      </w:r>
      <w:proofErr w:type="gramStart"/>
      <w:r w:rsidRPr="00C82119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  <w:lang w:val="en-US"/>
        </w:rPr>
        <w:t>atelectasis</w:t>
      </w:r>
      <w:proofErr w:type="gramEnd"/>
      <w:r w:rsidRPr="00C82119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  <w:lang w:val="en-US"/>
        </w:rPr>
        <w:t xml:space="preserve"> and </w:t>
      </w:r>
      <w:r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  <w:lang w:val="en-US"/>
        </w:rPr>
        <w:t>pulmonary embolism (</w:t>
      </w:r>
      <w:r w:rsidRPr="00C82119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  <w:lang w:val="en-US"/>
        </w:rPr>
        <w:t>PE</w:t>
      </w:r>
      <w:r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  <w:lang w:val="en-US"/>
        </w:rPr>
        <w:t>)</w:t>
      </w:r>
    </w:p>
    <w:p w14:paraId="4CEA0E9B" w14:textId="521F3F56" w:rsidR="00B61458" w:rsidRDefault="00D76E87" w:rsidP="00B61458">
      <w:pPr>
        <w:rPr>
          <w:rFonts w:ascii="Calibri" w:eastAsia="Calibri" w:hAnsi="Calibri" w:cs="Calibri"/>
          <w:sz w:val="22"/>
          <w:szCs w:val="22"/>
          <w:lang w:val="en-US"/>
        </w:rPr>
      </w:pPr>
      <w:r w:rsidRPr="00173409">
        <w:rPr>
          <w:rFonts w:ascii="Calibri" w:eastAsia="Calibri" w:hAnsi="Calibri" w:cs="Calibri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2C3138D5" wp14:editId="16C440F5">
            <wp:simplePos x="0" y="0"/>
            <wp:positionH relativeFrom="column">
              <wp:posOffset>4104640</wp:posOffset>
            </wp:positionH>
            <wp:positionV relativeFrom="paragraph">
              <wp:posOffset>58482</wp:posOffset>
            </wp:positionV>
            <wp:extent cx="5118068" cy="2361235"/>
            <wp:effectExtent l="0" t="0" r="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068" cy="236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F3C81" w14:textId="728EA2ED" w:rsidR="00B61458" w:rsidRDefault="00B61458" w:rsidP="00B61458">
      <w:pPr>
        <w:rPr>
          <w:rFonts w:ascii="Calibri" w:eastAsia="Calibri" w:hAnsi="Calibri" w:cs="Calibri"/>
          <w:sz w:val="22"/>
          <w:szCs w:val="22"/>
          <w:lang w:val="en-US"/>
        </w:rPr>
      </w:pPr>
    </w:p>
    <w:p w14:paraId="770105CA" w14:textId="77777777" w:rsidR="00B61458" w:rsidRDefault="00B61458" w:rsidP="00B61458">
      <w:pPr>
        <w:tabs>
          <w:tab w:val="left" w:pos="8834"/>
        </w:tabs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</w:p>
    <w:p w14:paraId="7D4809EB" w14:textId="77777777" w:rsidR="00B61458" w:rsidRDefault="00B61458" w:rsidP="00B61458">
      <w:pPr>
        <w:rPr>
          <w:rFonts w:ascii="Calibri" w:eastAsia="Calibri" w:hAnsi="Calibri" w:cs="Calibri"/>
          <w:sz w:val="22"/>
          <w:szCs w:val="22"/>
          <w:lang w:val="en-US"/>
        </w:rPr>
      </w:pPr>
    </w:p>
    <w:p w14:paraId="4FB1802B" w14:textId="77777777" w:rsidR="00B61458" w:rsidRDefault="00B61458" w:rsidP="00B61458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678EDEF0" w14:textId="77777777" w:rsidR="00B61458" w:rsidRDefault="00B61458" w:rsidP="00B61458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8077E3">
        <w:rPr>
          <w:rFonts w:ascii="Calibri" w:eastAsia="Calibri" w:hAnsi="Calibri" w:cs="Calibri"/>
          <w:b/>
          <w:bCs/>
          <w:color w:val="000000"/>
          <w:sz w:val="22"/>
          <w:szCs w:val="22"/>
          <w:lang w:val="en-US"/>
        </w:rPr>
        <w:t xml:space="preserve">Figure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US"/>
        </w:rPr>
        <w:t>II.1</w:t>
      </w:r>
      <w:r w:rsidRPr="008077E3">
        <w:rPr>
          <w:rFonts w:ascii="Calibri" w:eastAsia="Calibri" w:hAnsi="Calibri" w:cs="Calibri"/>
          <w:b/>
          <w:bCs/>
          <w:color w:val="000000"/>
          <w:sz w:val="22"/>
          <w:szCs w:val="22"/>
          <w:lang w:val="en-US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 w:rsidRPr="008077E3">
        <w:rPr>
          <w:rFonts w:ascii="Calibri" w:eastAsia="Calibri" w:hAnsi="Calibri" w:cs="Calibri"/>
          <w:sz w:val="22"/>
          <w:szCs w:val="22"/>
          <w:lang w:val="en-US"/>
        </w:rPr>
        <w:t xml:space="preserve">Percentage (%) </w:t>
      </w:r>
      <w:r w:rsidRPr="008077E3">
        <w:rPr>
          <w:rFonts w:ascii="Calibri" w:eastAsia="Calibri" w:hAnsi="Calibri" w:cs="Calibri"/>
          <w:color w:val="000000"/>
          <w:sz w:val="22"/>
          <w:szCs w:val="22"/>
          <w:lang w:val="en-US"/>
        </w:rPr>
        <w:t>of PE</w:t>
      </w:r>
      <w:r w:rsidRPr="008077E3">
        <w:rPr>
          <w:rFonts w:ascii="Calibri" w:eastAsia="Calibri" w:hAnsi="Calibri" w:cs="Calibri"/>
          <w:sz w:val="22"/>
          <w:szCs w:val="22"/>
          <w:lang w:val="en-US"/>
        </w:rPr>
        <w:t xml:space="preserve"> in the groups</w:t>
      </w:r>
      <w:r>
        <w:rPr>
          <w:rFonts w:ascii="Calibri" w:eastAsia="Calibri" w:hAnsi="Calibri" w:cs="Calibri"/>
          <w:sz w:val="22"/>
          <w:szCs w:val="22"/>
          <w:lang w:val="en-US"/>
        </w:rPr>
        <w:t>.</w:t>
      </w:r>
    </w:p>
    <w:p w14:paraId="6F0B9DE9" w14:textId="77777777" w:rsidR="00B61458" w:rsidRDefault="00B61458" w:rsidP="00B61458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8077E3">
        <w:rPr>
          <w:rFonts w:ascii="Calibri" w:eastAsia="Calibri" w:hAnsi="Calibri" w:cs="Calibri"/>
          <w:sz w:val="22"/>
          <w:szCs w:val="22"/>
          <w:lang w:val="en-US"/>
        </w:rPr>
        <w:t>Columns show % of prevalence in each group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</w:p>
    <w:p w14:paraId="2BB5F619" w14:textId="77777777" w:rsidR="00B61458" w:rsidRDefault="00B61458" w:rsidP="00B61458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F85158">
        <w:rPr>
          <w:rFonts w:ascii="Calibri" w:eastAsia="Calibri" w:hAnsi="Calibri" w:cs="Calibri"/>
          <w:i/>
          <w:iCs/>
          <w:sz w:val="22"/>
          <w:szCs w:val="22"/>
          <w:lang w:val="en-US"/>
        </w:rPr>
        <w:t>n</w:t>
      </w:r>
      <w:r w:rsidRPr="00F85158">
        <w:rPr>
          <w:rFonts w:ascii="Calibri" w:eastAsia="Calibri" w:hAnsi="Calibri" w:cs="Calibri"/>
          <w:sz w:val="22"/>
          <w:szCs w:val="22"/>
          <w:lang w:val="en-US"/>
        </w:rPr>
        <w:t xml:space="preserve"> shows number of patients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from each group.</w:t>
      </w:r>
    </w:p>
    <w:p w14:paraId="7EAED9B2" w14:textId="77777777" w:rsidR="00B61458" w:rsidRDefault="00B61458" w:rsidP="00B61458">
      <w:pPr>
        <w:tabs>
          <w:tab w:val="left" w:pos="9720"/>
        </w:tabs>
        <w:rPr>
          <w:rFonts w:ascii="Calibri" w:eastAsia="Calibri" w:hAnsi="Calibri" w:cs="Calibri"/>
          <w:sz w:val="22"/>
          <w:szCs w:val="22"/>
          <w:lang w:val="en-US"/>
        </w:rPr>
      </w:pPr>
    </w:p>
    <w:p w14:paraId="14E27FD9" w14:textId="77777777" w:rsidR="00B61458" w:rsidRPr="00DE34DE" w:rsidRDefault="00B61458" w:rsidP="00B61458">
      <w:pPr>
        <w:rPr>
          <w:rFonts w:ascii="Calibri" w:eastAsia="Calibri" w:hAnsi="Calibri" w:cs="Calibri"/>
          <w:sz w:val="22"/>
          <w:szCs w:val="22"/>
          <w:lang w:val="en-US"/>
        </w:rPr>
      </w:pPr>
    </w:p>
    <w:p w14:paraId="504F56D0" w14:textId="77777777" w:rsidR="00B61458" w:rsidRPr="00DE34DE" w:rsidRDefault="00B61458" w:rsidP="00B61458">
      <w:pPr>
        <w:rPr>
          <w:rFonts w:ascii="Calibri" w:eastAsia="Calibri" w:hAnsi="Calibri" w:cs="Calibri"/>
          <w:sz w:val="22"/>
          <w:szCs w:val="22"/>
          <w:lang w:val="en-US"/>
        </w:rPr>
      </w:pPr>
    </w:p>
    <w:p w14:paraId="0EC23F22" w14:textId="77777777" w:rsidR="00B61458" w:rsidRPr="00DE34DE" w:rsidRDefault="00B61458" w:rsidP="00B61458">
      <w:pPr>
        <w:rPr>
          <w:rFonts w:ascii="Calibri" w:eastAsia="Calibri" w:hAnsi="Calibri" w:cs="Calibri"/>
          <w:sz w:val="22"/>
          <w:szCs w:val="22"/>
          <w:lang w:val="en-US"/>
        </w:rPr>
      </w:pPr>
    </w:p>
    <w:p w14:paraId="4CFCBF76" w14:textId="77777777" w:rsidR="00B61458" w:rsidRPr="00DE34DE" w:rsidRDefault="00B61458" w:rsidP="00B61458">
      <w:pPr>
        <w:rPr>
          <w:rFonts w:ascii="Calibri" w:eastAsia="Calibri" w:hAnsi="Calibri" w:cs="Calibri"/>
          <w:sz w:val="22"/>
          <w:szCs w:val="22"/>
          <w:lang w:val="en-US"/>
        </w:rPr>
      </w:pPr>
      <w:r w:rsidRPr="00173409">
        <w:rPr>
          <w:rFonts w:ascii="Calibri" w:eastAsia="Calibri" w:hAnsi="Calibri" w:cs="Calibri"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6E325A6E" wp14:editId="1CC4252D">
            <wp:simplePos x="0" y="0"/>
            <wp:positionH relativeFrom="column">
              <wp:posOffset>4104861</wp:posOffset>
            </wp:positionH>
            <wp:positionV relativeFrom="paragraph">
              <wp:posOffset>29182</wp:posOffset>
            </wp:positionV>
            <wp:extent cx="5238050" cy="254643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050" cy="25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9EFFB" w14:textId="77777777" w:rsidR="00B61458" w:rsidRPr="00DE34DE" w:rsidRDefault="00B61458" w:rsidP="00B61458">
      <w:pPr>
        <w:rPr>
          <w:rFonts w:ascii="Calibri" w:eastAsia="Calibri" w:hAnsi="Calibri" w:cs="Calibri"/>
          <w:sz w:val="22"/>
          <w:szCs w:val="22"/>
          <w:lang w:val="en-US"/>
        </w:rPr>
      </w:pPr>
    </w:p>
    <w:p w14:paraId="0A88290F" w14:textId="77777777" w:rsidR="00B61458" w:rsidRPr="00DE34DE" w:rsidRDefault="00B61458" w:rsidP="00B61458">
      <w:pPr>
        <w:rPr>
          <w:rFonts w:ascii="Calibri" w:eastAsia="Calibri" w:hAnsi="Calibri" w:cs="Calibri"/>
          <w:sz w:val="22"/>
          <w:szCs w:val="22"/>
          <w:lang w:val="en-US"/>
        </w:rPr>
      </w:pPr>
    </w:p>
    <w:p w14:paraId="249BD2C2" w14:textId="77777777" w:rsidR="00B61458" w:rsidRPr="00DE34DE" w:rsidRDefault="00B61458" w:rsidP="00B61458">
      <w:pPr>
        <w:rPr>
          <w:rFonts w:ascii="Calibri" w:eastAsia="Calibri" w:hAnsi="Calibri" w:cs="Calibri"/>
          <w:sz w:val="22"/>
          <w:szCs w:val="22"/>
          <w:lang w:val="en-US"/>
        </w:rPr>
      </w:pPr>
    </w:p>
    <w:p w14:paraId="08F119B2" w14:textId="77777777" w:rsidR="00B61458" w:rsidRPr="00DE34DE" w:rsidRDefault="00B61458" w:rsidP="00B61458">
      <w:pPr>
        <w:rPr>
          <w:rFonts w:ascii="Calibri" w:eastAsia="Calibri" w:hAnsi="Calibri" w:cs="Calibri"/>
          <w:sz w:val="22"/>
          <w:szCs w:val="22"/>
          <w:lang w:val="en-US"/>
        </w:rPr>
      </w:pPr>
    </w:p>
    <w:p w14:paraId="24738481" w14:textId="77777777" w:rsidR="00B61458" w:rsidRDefault="00B61458" w:rsidP="00B61458">
      <w:pPr>
        <w:rPr>
          <w:rFonts w:ascii="Calibri" w:eastAsia="Calibri" w:hAnsi="Calibri" w:cs="Calibri"/>
          <w:sz w:val="22"/>
          <w:szCs w:val="22"/>
          <w:lang w:val="en-US"/>
        </w:rPr>
      </w:pPr>
    </w:p>
    <w:p w14:paraId="7EAEFD3C" w14:textId="77777777" w:rsidR="00B61458" w:rsidRDefault="00B61458" w:rsidP="00B61458">
      <w:pPr>
        <w:ind w:firstLine="708"/>
        <w:rPr>
          <w:rFonts w:ascii="Calibri" w:eastAsia="Calibri" w:hAnsi="Calibri" w:cs="Calibri"/>
          <w:sz w:val="22"/>
          <w:szCs w:val="22"/>
          <w:lang w:val="en-US"/>
        </w:rPr>
      </w:pPr>
    </w:p>
    <w:p w14:paraId="1A35E5BA" w14:textId="77777777" w:rsidR="00B61458" w:rsidRDefault="00B61458" w:rsidP="00B61458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8077E3">
        <w:rPr>
          <w:rFonts w:ascii="Calibri" w:eastAsia="Calibri" w:hAnsi="Calibri" w:cs="Calibri"/>
          <w:b/>
          <w:bCs/>
          <w:color w:val="000000"/>
          <w:sz w:val="22"/>
          <w:szCs w:val="22"/>
          <w:lang w:val="en-US"/>
        </w:rPr>
        <w:t xml:space="preserve">Figure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US"/>
        </w:rPr>
        <w:t>II.2</w:t>
      </w:r>
      <w:r w:rsidRPr="008077E3">
        <w:rPr>
          <w:rFonts w:ascii="Calibri" w:eastAsia="Calibri" w:hAnsi="Calibri" w:cs="Calibri"/>
          <w:b/>
          <w:bCs/>
          <w:color w:val="000000"/>
          <w:sz w:val="22"/>
          <w:szCs w:val="22"/>
          <w:lang w:val="en-US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US"/>
        </w:rPr>
        <w:t>Percentage (%) of in-hospital mortality adjusted by PE</w:t>
      </w:r>
      <w:r w:rsidRPr="008077E3">
        <w:rPr>
          <w:rFonts w:ascii="Calibri" w:eastAsia="Calibri" w:hAnsi="Calibri" w:cs="Calibri"/>
          <w:sz w:val="22"/>
          <w:szCs w:val="22"/>
          <w:lang w:val="en-US"/>
        </w:rPr>
        <w:t xml:space="preserve">. </w:t>
      </w:r>
    </w:p>
    <w:p w14:paraId="20BADF06" w14:textId="77777777" w:rsidR="00B61458" w:rsidRDefault="00B61458" w:rsidP="00B61458">
      <w:pPr>
        <w:spacing w:line="360" w:lineRule="auto"/>
        <w:rPr>
          <w:rFonts w:ascii="Calibri" w:eastAsia="Calibri" w:hAnsi="Calibri" w:cs="Calibri"/>
          <w:sz w:val="22"/>
          <w:szCs w:val="22"/>
          <w:lang w:val="en-US"/>
        </w:rPr>
      </w:pPr>
      <w:r w:rsidRPr="008077E3">
        <w:rPr>
          <w:rFonts w:ascii="Calibri" w:eastAsia="Calibri" w:hAnsi="Calibri" w:cs="Calibri"/>
          <w:sz w:val="22"/>
          <w:szCs w:val="22"/>
          <w:lang w:val="en-US"/>
        </w:rPr>
        <w:t xml:space="preserve">Columns show %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of in-hospital mortality </w:t>
      </w:r>
      <w:r w:rsidRPr="008077E3">
        <w:rPr>
          <w:rFonts w:ascii="Calibri" w:eastAsia="Calibri" w:hAnsi="Calibri" w:cs="Calibri"/>
          <w:sz w:val="22"/>
          <w:szCs w:val="22"/>
          <w:lang w:val="en-US"/>
        </w:rPr>
        <w:t>in each group</w:t>
      </w:r>
      <w:r>
        <w:rPr>
          <w:rFonts w:ascii="Calibri" w:eastAsia="Calibri" w:hAnsi="Calibri" w:cs="Calibri"/>
          <w:sz w:val="22"/>
          <w:szCs w:val="22"/>
          <w:lang w:val="en-US"/>
        </w:rPr>
        <w:t>,</w:t>
      </w:r>
    </w:p>
    <w:p w14:paraId="3C0AA379" w14:textId="77777777" w:rsidR="00B61458" w:rsidRPr="00DE34DE" w:rsidRDefault="00B61458" w:rsidP="00B61458">
      <w:pPr>
        <w:spacing w:line="360" w:lineRule="auto"/>
        <w:rPr>
          <w:rFonts w:ascii="Calibri" w:eastAsia="Calibri" w:hAnsi="Calibri" w:cs="Calibri"/>
          <w:sz w:val="22"/>
          <w:szCs w:val="22"/>
          <w:lang w:val="en-US"/>
        </w:rPr>
      </w:pPr>
      <w:r w:rsidRPr="00F85158">
        <w:rPr>
          <w:rFonts w:ascii="Calibri" w:eastAsia="Calibri" w:hAnsi="Calibri" w:cs="Calibri"/>
          <w:i/>
          <w:iCs/>
          <w:sz w:val="22"/>
          <w:szCs w:val="22"/>
          <w:lang w:val="en-US"/>
        </w:rPr>
        <w:t>n</w:t>
      </w:r>
      <w:r w:rsidRPr="00F85158">
        <w:rPr>
          <w:rFonts w:ascii="Calibri" w:eastAsia="Calibri" w:hAnsi="Calibri" w:cs="Calibri"/>
          <w:sz w:val="22"/>
          <w:szCs w:val="22"/>
          <w:lang w:val="en-US"/>
        </w:rPr>
        <w:t xml:space="preserve"> shows number of patients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from each group.</w:t>
      </w:r>
    </w:p>
    <w:p w14:paraId="7F2E3EEE" w14:textId="77777777" w:rsidR="00A56753" w:rsidRPr="00B61458" w:rsidRDefault="00A56753">
      <w:pPr>
        <w:rPr>
          <w:lang w:val="en-US"/>
        </w:rPr>
      </w:pPr>
    </w:p>
    <w:sectPr w:rsidR="00A56753" w:rsidRPr="00B61458" w:rsidSect="00B61458">
      <w:pgSz w:w="16840" w:h="1190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2583B" w14:textId="77777777" w:rsidR="00920C3C" w:rsidRDefault="00920C3C" w:rsidP="0060426B">
      <w:r>
        <w:separator/>
      </w:r>
    </w:p>
  </w:endnote>
  <w:endnote w:type="continuationSeparator" w:id="0">
    <w:p w14:paraId="02CF56A7" w14:textId="77777777" w:rsidR="00920C3C" w:rsidRDefault="00920C3C" w:rsidP="0060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41093" w14:textId="77777777" w:rsidR="00920C3C" w:rsidRDefault="00920C3C" w:rsidP="0060426B">
      <w:r>
        <w:separator/>
      </w:r>
    </w:p>
  </w:footnote>
  <w:footnote w:type="continuationSeparator" w:id="0">
    <w:p w14:paraId="529E96A9" w14:textId="77777777" w:rsidR="00920C3C" w:rsidRDefault="00920C3C" w:rsidP="00604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6881"/>
    <w:multiLevelType w:val="hybridMultilevel"/>
    <w:tmpl w:val="E9B0A2CE"/>
    <w:lvl w:ilvl="0" w:tplc="C24437FA">
      <w:start w:val="3"/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58"/>
    <w:rsid w:val="0058672E"/>
    <w:rsid w:val="0060426B"/>
    <w:rsid w:val="00920C3C"/>
    <w:rsid w:val="00950C61"/>
    <w:rsid w:val="009A5A88"/>
    <w:rsid w:val="00A56753"/>
    <w:rsid w:val="00B51DBB"/>
    <w:rsid w:val="00B61458"/>
    <w:rsid w:val="00CF7EF1"/>
    <w:rsid w:val="00D76E87"/>
    <w:rsid w:val="00F1242D"/>
    <w:rsid w:val="00F6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490AD7"/>
  <w14:defaultImageDpi w14:val="32767"/>
  <w15:chartTrackingRefBased/>
  <w15:docId w15:val="{107C3309-308E-D243-8782-3C7EE802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1458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14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42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26B"/>
    <w:rPr>
      <w:rFonts w:ascii="Times New Roman" w:eastAsia="Times New Roman" w:hAnsi="Times New Roman" w:cs="Times New Roman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042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26B"/>
    <w:rPr>
      <w:rFonts w:ascii="Times New Roman" w:eastAsia="Times New Roman" w:hAnsi="Times New Roman" w:cs="Times New Roman"/>
      <w:lang w:val="es-ES" w:eastAsia="es-ES_tradnl"/>
    </w:rPr>
  </w:style>
  <w:style w:type="character" w:styleId="Hipervnculo">
    <w:name w:val="Hyperlink"/>
    <w:basedOn w:val="Fuentedeprrafopredeter"/>
    <w:uiPriority w:val="99"/>
    <w:unhideWhenUsed/>
    <w:rsid w:val="0060426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6042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F7E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alvaro.mingote.ll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397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Mingote Lladó</dc:creator>
  <cp:keywords/>
  <dc:description/>
  <cp:lastModifiedBy>Alvaro Mingote Llado</cp:lastModifiedBy>
  <cp:revision>6</cp:revision>
  <dcterms:created xsi:type="dcterms:W3CDTF">2020-11-01T13:50:00Z</dcterms:created>
  <dcterms:modified xsi:type="dcterms:W3CDTF">2021-06-29T20:16:00Z</dcterms:modified>
</cp:coreProperties>
</file>