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9D" w:rsidRPr="0068706E" w:rsidRDefault="00E4519D" w:rsidP="00E4519D">
      <w:pPr>
        <w:spacing w:line="480" w:lineRule="auto"/>
        <w:rPr>
          <w:color w:val="000000" w:themeColor="text1"/>
        </w:rPr>
      </w:pPr>
      <w:bookmarkStart w:id="0" w:name="_GoBack"/>
      <w:bookmarkEnd w:id="0"/>
      <w:r w:rsidRPr="0068706E">
        <w:rPr>
          <w:color w:val="000000" w:themeColor="text1"/>
        </w:rPr>
        <w:t>SUPPLEMENTARY MATERIAL</w:t>
      </w:r>
    </w:p>
    <w:p w:rsidR="00E4519D" w:rsidRPr="0068706E" w:rsidRDefault="00E4519D" w:rsidP="00E4519D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68706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AUTHOR CHECKLIST </w:t>
      </w:r>
      <w:r w:rsidRPr="0068706E">
        <w:rPr>
          <w:rFonts w:ascii="Arial" w:hAnsi="Arial" w:cs="Arial"/>
          <w:b/>
          <w:i/>
          <w:color w:val="000000" w:themeColor="text1"/>
          <w:sz w:val="16"/>
          <w:szCs w:val="16"/>
        </w:rPr>
        <w:t>Authors of all papers reporting clinical research should submit this checklist together with their manuscript and the Reporting Guideline Checklist found on the EQUATOR site (</w:t>
      </w:r>
      <w:hyperlink r:id="rId7" w:history="1">
        <w:r w:rsidRPr="0068706E">
          <w:rPr>
            <w:rStyle w:val="Hyperlink"/>
            <w:rFonts w:ascii="Arial" w:hAnsi="Arial" w:cs="Arial"/>
            <w:b/>
            <w:i/>
            <w:color w:val="000000" w:themeColor="text1"/>
            <w:sz w:val="16"/>
            <w:szCs w:val="16"/>
          </w:rPr>
          <w:t>http://www.equator-network.org/</w:t>
        </w:r>
      </w:hyperlink>
      <w:r w:rsidRPr="0068706E">
        <w:rPr>
          <w:rFonts w:ascii="Arial" w:hAnsi="Arial" w:cs="Arial"/>
          <w:b/>
          <w:i/>
          <w:color w:val="000000" w:themeColor="text1"/>
          <w:sz w:val="16"/>
          <w:szCs w:val="16"/>
        </w:rPr>
        <w:t>).</w:t>
      </w:r>
    </w:p>
    <w:p w:rsidR="00E4519D" w:rsidRPr="0068706E" w:rsidRDefault="00E4519D" w:rsidP="00E4519D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:rsidR="00E4519D" w:rsidRPr="0068706E" w:rsidRDefault="00E4519D" w:rsidP="00E4519D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68706E">
        <w:rPr>
          <w:rFonts w:ascii="Arial" w:hAnsi="Arial" w:cs="Arial"/>
          <w:bCs/>
          <w:color w:val="000000" w:themeColor="text1"/>
          <w:sz w:val="16"/>
          <w:szCs w:val="16"/>
        </w:rPr>
        <w:t>This checklist</w:t>
      </w:r>
      <w:r w:rsidRPr="0068706E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identifies </w:t>
      </w:r>
      <w:proofErr w:type="spellStart"/>
      <w:r w:rsidRPr="0068706E">
        <w:rPr>
          <w:rFonts w:ascii="Arial" w:hAnsi="Arial" w:cs="Arial"/>
          <w:bCs/>
          <w:iCs/>
          <w:color w:val="000000" w:themeColor="text1"/>
          <w:sz w:val="16"/>
          <w:szCs w:val="16"/>
        </w:rPr>
        <w:t>recognised</w:t>
      </w:r>
      <w:proofErr w:type="spellEnd"/>
      <w:r w:rsidRPr="0068706E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guidelines for scientific reporting, which authors should use to prepare their manuscript </w:t>
      </w:r>
      <w:r w:rsidRPr="0068706E">
        <w:rPr>
          <w:rFonts w:ascii="Arial" w:hAnsi="Arial" w:cs="Arial"/>
          <w:bCs/>
          <w:i/>
          <w:color w:val="000000" w:themeColor="text1"/>
          <w:sz w:val="16"/>
          <w:szCs w:val="16"/>
        </w:rPr>
        <w:t>(required for systematic reviews and original research)</w:t>
      </w:r>
    </w:p>
    <w:p w:rsidR="00E4519D" w:rsidRPr="0068706E" w:rsidRDefault="00E4519D" w:rsidP="00E4519D">
      <w:pPr>
        <w:rPr>
          <w:rFonts w:ascii="Arial" w:hAnsi="Arial" w:cs="Arial"/>
          <w:color w:val="000000" w:themeColor="text1"/>
          <w:sz w:val="18"/>
          <w:szCs w:val="18"/>
        </w:rPr>
      </w:pPr>
      <w:r w:rsidRPr="0068706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W w:w="10439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51"/>
        <w:gridCol w:w="7088"/>
        <w:gridCol w:w="708"/>
        <w:gridCol w:w="692"/>
      </w:tblGrid>
      <w:tr w:rsidR="00E4519D" w:rsidRPr="0068706E" w:rsidTr="00A025D7">
        <w:trPr>
          <w:cantSplit/>
          <w:trHeight w:val="1134"/>
        </w:trPr>
        <w:tc>
          <w:tcPr>
            <w:tcW w:w="1951" w:type="dxa"/>
            <w:shd w:val="clear" w:color="auto" w:fill="D9D9D9"/>
          </w:tcPr>
          <w:p w:rsidR="00E4519D" w:rsidRPr="0068706E" w:rsidRDefault="00E4519D" w:rsidP="00A025D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Standards of reporting</w:t>
            </w:r>
          </w:p>
        </w:tc>
        <w:tc>
          <w:tcPr>
            <w:tcW w:w="7088" w:type="dxa"/>
            <w:shd w:val="clear" w:color="auto" w:fill="D9D9D9"/>
          </w:tcPr>
          <w:p w:rsidR="00E4519D" w:rsidRPr="0068706E" w:rsidRDefault="00E4519D" w:rsidP="00A025D7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870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The editors require that manuscripts adhere to </w:t>
            </w:r>
            <w:proofErr w:type="spellStart"/>
            <w:r w:rsidRPr="006870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recognised</w:t>
            </w:r>
            <w:proofErr w:type="spellEnd"/>
            <w:r w:rsidRPr="006870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reporting guidelines relevant to the research design used. These identify matters that should be addressed in your paper. Please indicate which guidelines you have referred to.</w:t>
            </w:r>
          </w:p>
          <w:p w:rsidR="00E4519D" w:rsidRPr="0068706E" w:rsidRDefault="00E4519D" w:rsidP="00A025D7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E4519D" w:rsidRPr="0068706E" w:rsidRDefault="00E4519D" w:rsidP="00A025D7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870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These are not quality assessment frameworks and your study need not meet all the criteria implied in the reporting guideline to be worthy of publication in the MATH</w:t>
            </w:r>
            <w:proofErr w:type="gramStart"/>
            <w:r w:rsidRPr="006870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  </w:t>
            </w:r>
            <w:proofErr w:type="gramEnd"/>
            <w:r w:rsidRPr="006870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The checklists do identify essential matters that should be considered and reported upon. For example, a controlled trial may or may not be blinded but it is important that the paper identifies whether or not participants, clinicians and outcome assessors were aware of treatment assignments.</w:t>
            </w:r>
          </w:p>
          <w:p w:rsidR="00E4519D" w:rsidRPr="0068706E" w:rsidRDefault="00E4519D" w:rsidP="00A025D7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E4519D" w:rsidRPr="0068706E" w:rsidRDefault="00E4519D" w:rsidP="00A025D7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870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**You are also</w:t>
            </w:r>
            <w:r w:rsidRPr="006870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870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required to submit a checklist from the appropriate reporting guideline (available on the EQUATOR website (</w:t>
            </w:r>
            <w:hyperlink r:id="rId8" w:history="1">
              <w:r w:rsidRPr="0068706E">
                <w:rPr>
                  <w:rStyle w:val="Hyperlink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http://www.equator-network.org/</w:t>
              </w:r>
            </w:hyperlink>
            <w:r w:rsidRPr="006870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 together with your paper as a guide to the editors.</w:t>
            </w:r>
          </w:p>
          <w:p w:rsidR="00E4519D" w:rsidRPr="0068706E" w:rsidRDefault="00E4519D" w:rsidP="00A025D7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E4519D" w:rsidRPr="0068706E" w:rsidRDefault="00E4519D" w:rsidP="00A025D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Reporting guidelines endorsed by MATH are listed below:</w:t>
            </w:r>
          </w:p>
        </w:tc>
        <w:tc>
          <w:tcPr>
            <w:tcW w:w="708" w:type="dxa"/>
            <w:shd w:val="clear" w:color="auto" w:fill="D9D9D9"/>
            <w:textDirection w:val="tbRl"/>
          </w:tcPr>
          <w:p w:rsidR="00E4519D" w:rsidRPr="0068706E" w:rsidRDefault="00E4519D" w:rsidP="00A025D7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Guideline referred to</w:t>
            </w:r>
          </w:p>
        </w:tc>
        <w:tc>
          <w:tcPr>
            <w:tcW w:w="692" w:type="dxa"/>
            <w:shd w:val="clear" w:color="auto" w:fill="D9D9D9"/>
            <w:textDirection w:val="tbRl"/>
          </w:tcPr>
          <w:p w:rsidR="00E4519D" w:rsidRPr="0068706E" w:rsidRDefault="00E4519D" w:rsidP="00A025D7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Checklist submitted</w:t>
            </w:r>
            <w:r w:rsidRPr="0068706E">
              <w:rPr>
                <w:rStyle w:val="FootnoteReference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footnoteReference w:customMarkFollows="1" w:id="1"/>
              <w:t>**</w:t>
            </w:r>
          </w:p>
        </w:tc>
      </w:tr>
      <w:tr w:rsidR="00E4519D" w:rsidRPr="0068706E" w:rsidTr="00A025D7">
        <w:tc>
          <w:tcPr>
            <w:tcW w:w="1951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Randomised</w:t>
            </w:r>
            <w:proofErr w:type="spellEnd"/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(and quasi-</w:t>
            </w:r>
            <w:proofErr w:type="spellStart"/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randomised</w:t>
            </w:r>
            <w:proofErr w:type="spellEnd"/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) controlled trial</w:t>
            </w:r>
          </w:p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CONSORT – Consolidated Standards of Reporting Trials </w:t>
            </w:r>
          </w:p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Pr="0068706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http://www.equator-network.org/reporting-guidelines/consort/</w:t>
              </w:r>
            </w:hyperlink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4519D" w:rsidRPr="0068706E" w:rsidTr="00A025D7">
        <w:tc>
          <w:tcPr>
            <w:tcW w:w="1951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Study of Diagnostic accuracy / assessment scale</w:t>
            </w:r>
          </w:p>
        </w:tc>
        <w:tc>
          <w:tcPr>
            <w:tcW w:w="7088" w:type="dxa"/>
          </w:tcPr>
          <w:p w:rsidR="00E4519D" w:rsidRPr="0068706E" w:rsidRDefault="00E4519D" w:rsidP="00A025D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STARD </w:t>
            </w:r>
            <w:r w:rsidRPr="0068706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Standards for the Reporting of Diagnostic Accuracy studies </w:t>
            </w:r>
          </w:p>
          <w:p w:rsidR="00E4519D" w:rsidRPr="0068706E" w:rsidRDefault="00E4519D" w:rsidP="00A025D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Pr="0068706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http://www.equator-network.org/reporting-guidelines/stard/</w:t>
              </w:r>
            </w:hyperlink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4519D" w:rsidRPr="0068706E" w:rsidRDefault="00E4519D" w:rsidP="00A025D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4519D" w:rsidRPr="0068706E" w:rsidTr="00A025D7">
        <w:trPr>
          <w:trHeight w:val="597"/>
        </w:trPr>
        <w:tc>
          <w:tcPr>
            <w:tcW w:w="1951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Systematic Review of Controlled Trials</w:t>
            </w:r>
          </w:p>
        </w:tc>
        <w:tc>
          <w:tcPr>
            <w:tcW w:w="7088" w:type="dxa"/>
          </w:tcPr>
          <w:p w:rsidR="00E4519D" w:rsidRPr="0068706E" w:rsidRDefault="00E4519D" w:rsidP="00A02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PRISMA - Preferred Reporting Items for </w:t>
            </w:r>
            <w:r w:rsidRPr="0068706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Systematic Reviews</w:t>
            </w: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Meta-Analyses </w:t>
            </w:r>
          </w:p>
          <w:p w:rsidR="00E4519D" w:rsidRPr="0068706E" w:rsidRDefault="00E4519D" w:rsidP="00A02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Pr="0068706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http://www.equator-network.org/reporting-guidelines/prisma/</w:t>
              </w:r>
            </w:hyperlink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4519D" w:rsidRPr="0068706E" w:rsidTr="00A025D7">
        <w:trPr>
          <w:trHeight w:val="631"/>
        </w:trPr>
        <w:tc>
          <w:tcPr>
            <w:tcW w:w="1951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Observational cohort, case control and cross sectional studies</w:t>
            </w:r>
          </w:p>
        </w:tc>
        <w:tc>
          <w:tcPr>
            <w:tcW w:w="7088" w:type="dxa"/>
          </w:tcPr>
          <w:p w:rsidR="00E4519D" w:rsidRPr="0068706E" w:rsidRDefault="00E4519D" w:rsidP="00A025D7">
            <w:pPr>
              <w:rPr>
                <w:rStyle w:val="untertitel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STROBE </w:t>
            </w:r>
            <w:r w:rsidRPr="0068706E">
              <w:rPr>
                <w:rStyle w:val="untertitel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</w:t>
            </w:r>
            <w:r w:rsidRPr="0068706E">
              <w:rPr>
                <w:rStyle w:val="untertitel"/>
                <w:rFonts w:ascii="Arial" w:hAnsi="Arial" w:cs="Arial"/>
                <w:color w:val="000000" w:themeColor="text1"/>
                <w:sz w:val="18"/>
                <w:szCs w:val="18"/>
              </w:rPr>
              <w:t xml:space="preserve">rengthening the </w:t>
            </w:r>
            <w:r w:rsidRPr="0068706E">
              <w:rPr>
                <w:rStyle w:val="untertitel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8706E">
              <w:rPr>
                <w:rStyle w:val="untertitel"/>
                <w:rFonts w:ascii="Arial" w:hAnsi="Arial" w:cs="Arial"/>
                <w:color w:val="000000" w:themeColor="text1"/>
                <w:sz w:val="18"/>
                <w:szCs w:val="18"/>
              </w:rPr>
              <w:t xml:space="preserve">eporting of </w:t>
            </w:r>
            <w:r w:rsidRPr="0068706E">
              <w:rPr>
                <w:rStyle w:val="untertitel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Ob</w:t>
            </w:r>
            <w:r w:rsidRPr="0068706E">
              <w:rPr>
                <w:rStyle w:val="untertitel"/>
                <w:rFonts w:ascii="Arial" w:hAnsi="Arial" w:cs="Arial"/>
                <w:color w:val="000000" w:themeColor="text1"/>
                <w:sz w:val="18"/>
                <w:szCs w:val="18"/>
              </w:rPr>
              <w:t xml:space="preserve">servational Studies in </w:t>
            </w:r>
            <w:r w:rsidRPr="0068706E">
              <w:rPr>
                <w:rStyle w:val="untertitel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8706E">
              <w:rPr>
                <w:rStyle w:val="untertitel"/>
                <w:rFonts w:ascii="Arial" w:hAnsi="Arial" w:cs="Arial"/>
                <w:color w:val="000000" w:themeColor="text1"/>
                <w:sz w:val="18"/>
                <w:szCs w:val="18"/>
              </w:rPr>
              <w:t>pidemiology</w:t>
            </w:r>
          </w:p>
          <w:p w:rsidR="00E4519D" w:rsidRPr="0068706E" w:rsidRDefault="00E4519D" w:rsidP="00A02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Pr="0068706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http://www.equator-network.org/reporting-guidelines/strobe/</w:t>
              </w:r>
            </w:hyperlink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92" w:type="dxa"/>
            <w:shd w:val="clear" w:color="auto" w:fill="auto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E4519D" w:rsidRPr="0068706E" w:rsidTr="00A025D7">
        <w:trPr>
          <w:trHeight w:val="631"/>
        </w:trPr>
        <w:tc>
          <w:tcPr>
            <w:tcW w:w="1951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Case Reports</w:t>
            </w:r>
          </w:p>
        </w:tc>
        <w:tc>
          <w:tcPr>
            <w:tcW w:w="7088" w:type="dxa"/>
          </w:tcPr>
          <w:p w:rsidR="00E4519D" w:rsidRPr="0068706E" w:rsidRDefault="00E4519D" w:rsidP="00A02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CARE  - Case Reports - </w:t>
            </w:r>
            <w:hyperlink r:id="rId13" w:history="1">
              <w:r w:rsidRPr="0068706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http://www.care-statement.org/downloads/CAREchecklist-English.pdf</w:t>
              </w:r>
            </w:hyperlink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4519D" w:rsidRPr="0068706E" w:rsidTr="00A025D7">
        <w:trPr>
          <w:trHeight w:val="631"/>
        </w:trPr>
        <w:tc>
          <w:tcPr>
            <w:tcW w:w="1951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Statistical reporting</w:t>
            </w:r>
          </w:p>
        </w:tc>
        <w:tc>
          <w:tcPr>
            <w:tcW w:w="7088" w:type="dxa"/>
          </w:tcPr>
          <w:p w:rsidR="00E4519D" w:rsidRPr="0068706E" w:rsidRDefault="00E4519D" w:rsidP="00A025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SAMPL - guidelines for statistical reporting – </w:t>
            </w:r>
            <w:r w:rsidRPr="0068706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no checklist exists currently but authors are encouraged to view the guidelines on the EQUATOR website </w:t>
            </w:r>
            <w:hyperlink r:id="rId14" w:history="1">
              <w:r w:rsidRPr="0068706E">
                <w:rPr>
                  <w:rStyle w:val="Hyperlink"/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>http://www.equator-network.org/reporting-guidelines/sampl/</w:t>
              </w:r>
            </w:hyperlink>
            <w:r w:rsidRPr="0068706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D9D9D9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4519D" w:rsidRPr="0068706E" w:rsidTr="00A025D7">
        <w:trPr>
          <w:cantSplit/>
          <w:trHeight w:val="393"/>
        </w:trPr>
        <w:tc>
          <w:tcPr>
            <w:tcW w:w="1951" w:type="dxa"/>
            <w:shd w:val="clear" w:color="auto" w:fill="D9D9D9"/>
          </w:tcPr>
          <w:p w:rsidR="00E4519D" w:rsidRPr="0068706E" w:rsidRDefault="00E4519D" w:rsidP="00A025D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D9D9D9"/>
          </w:tcPr>
          <w:p w:rsidR="00E4519D" w:rsidRPr="0068706E" w:rsidRDefault="00E4519D" w:rsidP="00A025D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Qualitative researchers might wish to consult the guideline listed below </w:t>
            </w:r>
          </w:p>
        </w:tc>
        <w:tc>
          <w:tcPr>
            <w:tcW w:w="708" w:type="dxa"/>
            <w:shd w:val="clear" w:color="auto" w:fill="D9D9D9"/>
            <w:textDirection w:val="tbRl"/>
          </w:tcPr>
          <w:p w:rsidR="00E4519D" w:rsidRPr="0068706E" w:rsidRDefault="00E4519D" w:rsidP="00A025D7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D9D9D9"/>
            <w:textDirection w:val="tbRl"/>
          </w:tcPr>
          <w:p w:rsidR="00E4519D" w:rsidRPr="0068706E" w:rsidRDefault="00E4519D" w:rsidP="00A025D7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4519D" w:rsidRPr="0068706E" w:rsidTr="00A025D7">
        <w:trPr>
          <w:trHeight w:val="590"/>
        </w:trPr>
        <w:tc>
          <w:tcPr>
            <w:tcW w:w="1951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Qualitative studies</w:t>
            </w:r>
          </w:p>
        </w:tc>
        <w:tc>
          <w:tcPr>
            <w:tcW w:w="7088" w:type="dxa"/>
          </w:tcPr>
          <w:p w:rsidR="00E4519D" w:rsidRPr="0068706E" w:rsidRDefault="00E4519D" w:rsidP="00A02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COREQ: Consolidated criteria for reporting qualitative research (</w:t>
            </w:r>
            <w:hyperlink r:id="rId15" w:history="1">
              <w:r w:rsidRPr="0068706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http://www.equator-network.org/reporting-guidelines/coreq/</w:t>
              </w:r>
            </w:hyperlink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</w:p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4519D" w:rsidRPr="0068706E" w:rsidTr="00A025D7">
        <w:trPr>
          <w:trHeight w:val="590"/>
        </w:trPr>
        <w:tc>
          <w:tcPr>
            <w:tcW w:w="1951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(please give source)</w:t>
            </w:r>
          </w:p>
        </w:tc>
        <w:tc>
          <w:tcPr>
            <w:tcW w:w="708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4519D" w:rsidRPr="0068706E" w:rsidTr="00A025D7">
        <w:trPr>
          <w:trHeight w:val="590"/>
        </w:trPr>
        <w:tc>
          <w:tcPr>
            <w:tcW w:w="1951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706E">
              <w:rPr>
                <w:rFonts w:ascii="Arial" w:hAnsi="Arial" w:cs="Arial"/>
                <w:color w:val="000000" w:themeColor="text1"/>
                <w:sz w:val="18"/>
                <w:szCs w:val="18"/>
              </w:rPr>
              <w:t>Not applicable (please elaborate)</w:t>
            </w:r>
          </w:p>
        </w:tc>
        <w:tc>
          <w:tcPr>
            <w:tcW w:w="708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</w:tcPr>
          <w:p w:rsidR="00E4519D" w:rsidRPr="0068706E" w:rsidRDefault="00E4519D" w:rsidP="00A025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E4519D" w:rsidRPr="0068706E" w:rsidRDefault="00E4519D" w:rsidP="00E4519D">
      <w:pPr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E4519D" w:rsidRPr="0068706E" w:rsidRDefault="00E4519D" w:rsidP="00E4519D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8706E">
        <w:rPr>
          <w:rFonts w:ascii="Arial" w:hAnsi="Arial" w:cs="Arial"/>
          <w:b/>
          <w:bCs/>
          <w:color w:val="000000" w:themeColor="text1"/>
          <w:sz w:val="18"/>
          <w:szCs w:val="18"/>
        </w:rPr>
        <w:br w:type="page"/>
      </w:r>
      <w:r w:rsidRPr="0068706E">
        <w:rPr>
          <w:rFonts w:ascii="Arial" w:hAnsi="Arial" w:cs="Arial"/>
          <w:b/>
          <w:noProof/>
          <w:color w:val="000000" w:themeColor="text1"/>
          <w:sz w:val="18"/>
          <w:szCs w:val="18"/>
        </w:rPr>
        <w:lastRenderedPageBreak/>
        <w:drawing>
          <wp:inline distT="0" distB="0" distL="0" distR="0" wp14:anchorId="25D98E15" wp14:editId="262C7972">
            <wp:extent cx="5949950" cy="8404860"/>
            <wp:effectExtent l="0" t="0" r="0" b="0"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D" w:rsidRPr="0068706E" w:rsidRDefault="00E4519D" w:rsidP="00E4519D">
      <w:pPr>
        <w:spacing w:line="480" w:lineRule="auto"/>
        <w:rPr>
          <w:color w:val="000000" w:themeColor="text1"/>
        </w:rPr>
      </w:pPr>
    </w:p>
    <w:p w:rsidR="00E4519D" w:rsidRPr="0068706E" w:rsidRDefault="00E4519D" w:rsidP="00E4519D">
      <w:pPr>
        <w:spacing w:line="480" w:lineRule="auto"/>
        <w:rPr>
          <w:color w:val="000000" w:themeColor="text1"/>
        </w:rPr>
      </w:pPr>
    </w:p>
    <w:p w:rsidR="00E4519D" w:rsidRPr="0068706E" w:rsidRDefault="00E4519D" w:rsidP="00E4519D">
      <w:pPr>
        <w:spacing w:line="480" w:lineRule="auto"/>
        <w:rPr>
          <w:color w:val="000000" w:themeColor="text1"/>
        </w:rPr>
      </w:pPr>
      <w:r w:rsidRPr="0068706E">
        <w:rPr>
          <w:noProof/>
          <w:color w:val="000000" w:themeColor="text1"/>
        </w:rPr>
        <w:lastRenderedPageBreak/>
        <w:drawing>
          <wp:inline distT="0" distB="0" distL="0" distR="0" wp14:anchorId="133BDEA3" wp14:editId="7AD8CCFB">
            <wp:extent cx="5949950" cy="8404860"/>
            <wp:effectExtent l="0" t="0" r="0" b="0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D" w:rsidRPr="0068706E" w:rsidRDefault="00E4519D" w:rsidP="00E4519D">
      <w:pPr>
        <w:spacing w:line="480" w:lineRule="auto"/>
        <w:rPr>
          <w:color w:val="000000" w:themeColor="text1"/>
        </w:rPr>
      </w:pPr>
    </w:p>
    <w:p w:rsidR="00E4519D" w:rsidRPr="0068706E" w:rsidRDefault="00E4519D" w:rsidP="00E4519D">
      <w:pPr>
        <w:spacing w:line="480" w:lineRule="auto"/>
        <w:rPr>
          <w:color w:val="000000" w:themeColor="text1"/>
        </w:rPr>
      </w:pPr>
    </w:p>
    <w:p w:rsidR="00720BDF" w:rsidRDefault="00720BDF"/>
    <w:sectPr w:rsidR="0072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9D" w:rsidRDefault="00E4519D" w:rsidP="00E4519D">
      <w:pPr>
        <w:spacing w:after="0" w:line="240" w:lineRule="auto"/>
      </w:pPr>
      <w:r>
        <w:separator/>
      </w:r>
    </w:p>
  </w:endnote>
  <w:endnote w:type="continuationSeparator" w:id="0">
    <w:p w:rsidR="00E4519D" w:rsidRDefault="00E4519D" w:rsidP="00E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9D" w:rsidRDefault="00E4519D" w:rsidP="00E4519D">
      <w:pPr>
        <w:spacing w:after="0" w:line="240" w:lineRule="auto"/>
      </w:pPr>
      <w:r>
        <w:separator/>
      </w:r>
    </w:p>
  </w:footnote>
  <w:footnote w:type="continuationSeparator" w:id="0">
    <w:p w:rsidR="00E4519D" w:rsidRDefault="00E4519D" w:rsidP="00E4519D">
      <w:pPr>
        <w:spacing w:after="0" w:line="240" w:lineRule="auto"/>
      </w:pPr>
      <w:r>
        <w:continuationSeparator/>
      </w:r>
    </w:p>
  </w:footnote>
  <w:footnote w:id="1">
    <w:p w:rsidR="00E4519D" w:rsidRPr="001C171B" w:rsidRDefault="00E4519D" w:rsidP="00E4519D">
      <w:pPr>
        <w:pStyle w:val="FootnoteTex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9D"/>
    <w:rsid w:val="00056D30"/>
    <w:rsid w:val="000760D8"/>
    <w:rsid w:val="000D2D44"/>
    <w:rsid w:val="00126C73"/>
    <w:rsid w:val="00136A91"/>
    <w:rsid w:val="00140BDA"/>
    <w:rsid w:val="00152FC9"/>
    <w:rsid w:val="001B5EA4"/>
    <w:rsid w:val="001D7E7D"/>
    <w:rsid w:val="0021094E"/>
    <w:rsid w:val="0024338B"/>
    <w:rsid w:val="0025785A"/>
    <w:rsid w:val="002842C3"/>
    <w:rsid w:val="00331B09"/>
    <w:rsid w:val="00381F5D"/>
    <w:rsid w:val="003D5102"/>
    <w:rsid w:val="003F339F"/>
    <w:rsid w:val="00434BD9"/>
    <w:rsid w:val="00462383"/>
    <w:rsid w:val="004E1976"/>
    <w:rsid w:val="004E272E"/>
    <w:rsid w:val="004F187D"/>
    <w:rsid w:val="0050465C"/>
    <w:rsid w:val="00557189"/>
    <w:rsid w:val="005A7871"/>
    <w:rsid w:val="005C58DE"/>
    <w:rsid w:val="005C5F0E"/>
    <w:rsid w:val="00620E12"/>
    <w:rsid w:val="00632FCB"/>
    <w:rsid w:val="00635047"/>
    <w:rsid w:val="00635891"/>
    <w:rsid w:val="00647614"/>
    <w:rsid w:val="00651BCC"/>
    <w:rsid w:val="00665429"/>
    <w:rsid w:val="00682767"/>
    <w:rsid w:val="00690295"/>
    <w:rsid w:val="006E5579"/>
    <w:rsid w:val="006F3C90"/>
    <w:rsid w:val="006F78DB"/>
    <w:rsid w:val="00717B32"/>
    <w:rsid w:val="00720B1C"/>
    <w:rsid w:val="00720BDF"/>
    <w:rsid w:val="00723E98"/>
    <w:rsid w:val="00876067"/>
    <w:rsid w:val="008F3178"/>
    <w:rsid w:val="00905117"/>
    <w:rsid w:val="009415FB"/>
    <w:rsid w:val="00966989"/>
    <w:rsid w:val="00966C92"/>
    <w:rsid w:val="00980FB8"/>
    <w:rsid w:val="009A45D3"/>
    <w:rsid w:val="009A6676"/>
    <w:rsid w:val="009F3D6C"/>
    <w:rsid w:val="00A31F05"/>
    <w:rsid w:val="00A40A77"/>
    <w:rsid w:val="00AA7176"/>
    <w:rsid w:val="00AA77BF"/>
    <w:rsid w:val="00B04F8F"/>
    <w:rsid w:val="00B14594"/>
    <w:rsid w:val="00B433E5"/>
    <w:rsid w:val="00B84519"/>
    <w:rsid w:val="00B91B9A"/>
    <w:rsid w:val="00B93E12"/>
    <w:rsid w:val="00BB691A"/>
    <w:rsid w:val="00BC1395"/>
    <w:rsid w:val="00BF11C9"/>
    <w:rsid w:val="00C430E8"/>
    <w:rsid w:val="00C437F1"/>
    <w:rsid w:val="00C57286"/>
    <w:rsid w:val="00C66409"/>
    <w:rsid w:val="00C94B22"/>
    <w:rsid w:val="00CA17B9"/>
    <w:rsid w:val="00CB2728"/>
    <w:rsid w:val="00CE3959"/>
    <w:rsid w:val="00CE5C90"/>
    <w:rsid w:val="00D30042"/>
    <w:rsid w:val="00D30946"/>
    <w:rsid w:val="00D318E8"/>
    <w:rsid w:val="00D57508"/>
    <w:rsid w:val="00D67BC8"/>
    <w:rsid w:val="00D92616"/>
    <w:rsid w:val="00DC54C9"/>
    <w:rsid w:val="00E4519D"/>
    <w:rsid w:val="00E510C4"/>
    <w:rsid w:val="00E92F22"/>
    <w:rsid w:val="00EB5DF9"/>
    <w:rsid w:val="00EE04A8"/>
    <w:rsid w:val="00EE4EFA"/>
    <w:rsid w:val="00F15C80"/>
    <w:rsid w:val="00F325F1"/>
    <w:rsid w:val="00F37C70"/>
    <w:rsid w:val="00F82A19"/>
    <w:rsid w:val="00F83730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19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4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519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4519D"/>
    <w:rPr>
      <w:vertAlign w:val="superscript"/>
    </w:rPr>
  </w:style>
  <w:style w:type="character" w:customStyle="1" w:styleId="untertitel">
    <w:name w:val="untertitel"/>
    <w:rsid w:val="00E4519D"/>
  </w:style>
  <w:style w:type="paragraph" w:styleId="BalloonText">
    <w:name w:val="Balloon Text"/>
    <w:basedOn w:val="Normal"/>
    <w:link w:val="BalloonTextChar"/>
    <w:uiPriority w:val="99"/>
    <w:semiHidden/>
    <w:unhideWhenUsed/>
    <w:rsid w:val="00E4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19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4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519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4519D"/>
    <w:rPr>
      <w:vertAlign w:val="superscript"/>
    </w:rPr>
  </w:style>
  <w:style w:type="character" w:customStyle="1" w:styleId="untertitel">
    <w:name w:val="untertitel"/>
    <w:rsid w:val="00E4519D"/>
  </w:style>
  <w:style w:type="paragraph" w:styleId="BalloonText">
    <w:name w:val="Balloon Text"/>
    <w:basedOn w:val="Normal"/>
    <w:link w:val="BalloonTextChar"/>
    <w:uiPriority w:val="99"/>
    <w:semiHidden/>
    <w:unhideWhenUsed/>
    <w:rsid w:val="00E4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" TargetMode="External"/><Relationship Id="rId13" Type="http://schemas.openxmlformats.org/officeDocument/2006/relationships/hyperlink" Target="http://www.care-statement.org/downloads/CAREchecklist-English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quator-network.org/" TargetMode="External"/><Relationship Id="rId12" Type="http://schemas.openxmlformats.org/officeDocument/2006/relationships/hyperlink" Target="http://www.equator-network.org/reporting-guidelines/strobe/" TargetMode="External"/><Relationship Id="rId17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image" Target="media/image1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quator-network.org/reporting-guidelines/prism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quator-network.org/reporting-guidelines/coreq/" TargetMode="External"/><Relationship Id="rId10" Type="http://schemas.openxmlformats.org/officeDocument/2006/relationships/hyperlink" Target="http://www.equator-network.org/reporting-guidelines/star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reporting-guidelines/consort/" TargetMode="External"/><Relationship Id="rId14" Type="http://schemas.openxmlformats.org/officeDocument/2006/relationships/hyperlink" Target="http://www.equator-network.org/reporting-guidelines/sam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RAMANTE</dc:creator>
  <cp:lastModifiedBy>RAMANTE</cp:lastModifiedBy>
  <cp:revision>1</cp:revision>
  <dcterms:created xsi:type="dcterms:W3CDTF">2020-10-03T02:19:00Z</dcterms:created>
  <dcterms:modified xsi:type="dcterms:W3CDTF">2020-10-03T02:19:00Z</dcterms:modified>
</cp:coreProperties>
</file>