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4B" w:rsidRDefault="00D2604B" w:rsidP="00D2604B">
      <w:pPr>
        <w:rPr>
          <w:rFonts w:ascii="Times New Roman" w:hAnsi="Times New Roman" w:cs="Times New Roman" w:hint="eastAsia"/>
          <w:b/>
          <w:sz w:val="24"/>
          <w:szCs w:val="24"/>
        </w:rPr>
      </w:pPr>
      <w:r>
        <w:rPr>
          <w:rFonts w:ascii="Times New Roman" w:hAnsi="Times New Roman" w:cs="Times New Roman" w:hint="eastAsia"/>
          <w:b/>
          <w:sz w:val="24"/>
          <w:szCs w:val="24"/>
        </w:rPr>
        <w:t>Method</w:t>
      </w:r>
    </w:p>
    <w:p w:rsidR="00D2604B" w:rsidRPr="00021B97" w:rsidRDefault="00D2604B" w:rsidP="00D2604B">
      <w:pPr>
        <w:rPr>
          <w:rFonts w:ascii="Times New Roman" w:hAnsi="Times New Roman" w:cs="Times New Roman"/>
          <w:sz w:val="20"/>
          <w:szCs w:val="20"/>
        </w:rPr>
      </w:pPr>
      <w:r w:rsidRPr="00021B97">
        <w:rPr>
          <w:rFonts w:ascii="Times New Roman" w:hAnsi="Times New Roman" w:cs="Times New Roman" w:hint="eastAsia"/>
          <w:sz w:val="20"/>
          <w:szCs w:val="20"/>
        </w:rPr>
        <w:t>Risk score system</w:t>
      </w:r>
    </w:p>
    <w:p w:rsidR="00D2604B" w:rsidRPr="000D39F8" w:rsidRDefault="00D2604B" w:rsidP="00D2604B">
      <w:pPr>
        <w:rPr>
          <w:rFonts w:ascii="Times New Roman" w:hAnsi="Times New Roman" w:cs="Times New Roman"/>
          <w:sz w:val="20"/>
          <w:szCs w:val="20"/>
        </w:rPr>
      </w:pPr>
      <w:r w:rsidRPr="000D39F8">
        <w:rPr>
          <w:rFonts w:ascii="Times New Roman" w:hAnsi="Times New Roman" w:cs="Times New Roman"/>
          <w:sz w:val="20"/>
          <w:szCs w:val="20"/>
        </w:rPr>
        <w:t xml:space="preserve">A risk score system based on the final multivariable model was derived using the method proposed by Sullivan </w:t>
      </w:r>
      <w:proofErr w:type="gramStart"/>
      <w:r w:rsidRPr="000D39F8">
        <w:rPr>
          <w:rFonts w:ascii="Times New Roman" w:hAnsi="Times New Roman" w:cs="Times New Roman"/>
          <w:sz w:val="20"/>
          <w:szCs w:val="20"/>
        </w:rPr>
        <w:t>et</w:t>
      </w:r>
      <w:proofErr w:type="gramEnd"/>
      <w:r w:rsidRPr="000D39F8">
        <w:rPr>
          <w:rFonts w:ascii="Times New Roman" w:hAnsi="Times New Roman" w:cs="Times New Roman"/>
          <w:sz w:val="20"/>
          <w:szCs w:val="20"/>
        </w:rPr>
        <w:t xml:space="preserve"> al.</w:t>
      </w:r>
      <w:r w:rsidRPr="000D39F8">
        <w:rPr>
          <w:rFonts w:ascii="Times New Roman" w:hAnsi="Times New Roman" w:cs="Times New Roman"/>
          <w:noProof/>
          <w:sz w:val="20"/>
          <w:szCs w:val="20"/>
          <w:vertAlign w:val="superscript"/>
        </w:rPr>
        <w:t>1</w:t>
      </w:r>
      <w:r w:rsidRPr="000D39F8">
        <w:rPr>
          <w:rFonts w:ascii="Times New Roman" w:hAnsi="Times New Roman" w:cs="Times New Roman"/>
          <w:sz w:val="20"/>
          <w:szCs w:val="20"/>
        </w:rPr>
        <w:t xml:space="preserve"> In the scoring system, 0 points were assigned to the base category (the reference value </w:t>
      </w:r>
      <w:proofErr w:type="spellStart"/>
      <w:r w:rsidRPr="000D39F8">
        <w:rPr>
          <w:rFonts w:ascii="Times New Roman" w:hAnsi="Times New Roman" w:cs="Times New Roman"/>
          <w:sz w:val="20"/>
          <w:szCs w:val="20"/>
        </w:rPr>
        <w:t>W</w:t>
      </w:r>
      <w:r w:rsidRPr="000D39F8">
        <w:rPr>
          <w:rFonts w:ascii="Times New Roman" w:hAnsi="Times New Roman" w:cs="Times New Roman"/>
          <w:sz w:val="20"/>
          <w:szCs w:val="20"/>
          <w:vertAlign w:val="subscript"/>
        </w:rPr>
        <w:t>iREF</w:t>
      </w:r>
      <w:proofErr w:type="spellEnd"/>
      <w:r w:rsidRPr="000D39F8">
        <w:rPr>
          <w:rFonts w:ascii="Times New Roman" w:hAnsi="Times New Roman" w:cs="Times New Roman"/>
          <w:sz w:val="20"/>
          <w:szCs w:val="20"/>
        </w:rPr>
        <w:t>) for each risk category. We then calculated the distance of each category from the base category for each risk factor in terms of regression units [</w:t>
      </w:r>
      <w:r w:rsidRPr="000D39F8">
        <w:rPr>
          <w:rFonts w:ascii="Times New Roman" w:eastAsia="Arial Unicode MS" w:hAnsi="Times New Roman" w:cs="Times New Roman"/>
          <w:sz w:val="20"/>
          <w:szCs w:val="20"/>
        </w:rPr>
        <w:t>β</w:t>
      </w:r>
      <w:r w:rsidRPr="000D39F8">
        <w:rPr>
          <w:rFonts w:ascii="Times New Roman" w:eastAsia="Arial Unicode MS" w:hAnsi="Times New Roman" w:cs="Times New Roman"/>
          <w:sz w:val="20"/>
          <w:szCs w:val="20"/>
          <w:vertAlign w:val="subscript"/>
        </w:rPr>
        <w:t>i</w:t>
      </w:r>
      <w:r w:rsidRPr="000D39F8">
        <w:rPr>
          <w:rFonts w:ascii="Times New Roman" w:eastAsia="Arial Unicode MS" w:hAnsi="Times New Roman" w:cs="Times New Roman"/>
          <w:sz w:val="20"/>
          <w:szCs w:val="20"/>
        </w:rPr>
        <w:t xml:space="preserve"> (</w:t>
      </w:r>
      <w:proofErr w:type="spellStart"/>
      <w:r w:rsidRPr="000D39F8">
        <w:rPr>
          <w:rFonts w:ascii="Times New Roman" w:eastAsia="Arial Unicode MS" w:hAnsi="Times New Roman" w:cs="Times New Roman"/>
          <w:sz w:val="20"/>
          <w:szCs w:val="20"/>
        </w:rPr>
        <w:t>W</w:t>
      </w:r>
      <w:r w:rsidRPr="000D39F8">
        <w:rPr>
          <w:rFonts w:ascii="Times New Roman" w:eastAsia="Arial Unicode MS" w:hAnsi="Times New Roman" w:cs="Times New Roman"/>
          <w:sz w:val="20"/>
          <w:szCs w:val="20"/>
          <w:vertAlign w:val="subscript"/>
        </w:rPr>
        <w:t>ij</w:t>
      </w:r>
      <w:r w:rsidRPr="000D39F8">
        <w:rPr>
          <w:rFonts w:ascii="Times New Roman" w:eastAsia="Arial Unicode MS" w:hAnsi="Times New Roman" w:cs="Times New Roman"/>
          <w:sz w:val="20"/>
          <w:szCs w:val="20"/>
        </w:rPr>
        <w:t>-W</w:t>
      </w:r>
      <w:r w:rsidRPr="000D39F8">
        <w:rPr>
          <w:rFonts w:ascii="Times New Roman" w:eastAsia="Arial Unicode MS" w:hAnsi="Times New Roman" w:cs="Times New Roman"/>
          <w:sz w:val="20"/>
          <w:szCs w:val="20"/>
          <w:vertAlign w:val="subscript"/>
        </w:rPr>
        <w:t>iREF</w:t>
      </w:r>
      <w:proofErr w:type="spellEnd"/>
      <w:r w:rsidRPr="000D39F8">
        <w:rPr>
          <w:rFonts w:ascii="Times New Roman" w:eastAsia="Arial Unicode MS" w:hAnsi="Times New Roman" w:cs="Times New Roman"/>
          <w:sz w:val="20"/>
          <w:szCs w:val="20"/>
        </w:rPr>
        <w:t xml:space="preserve">)]. </w:t>
      </w:r>
      <w:r w:rsidRPr="000D39F8">
        <w:rPr>
          <w:rFonts w:ascii="Times New Roman" w:hAnsi="Times New Roman" w:cs="Times New Roman"/>
          <w:sz w:val="20"/>
          <w:szCs w:val="20"/>
        </w:rPr>
        <w:t xml:space="preserve">We defined the constant for the point system, which correspond to one point in the risk score system, as the increase in risk of CPP associated with a 0.2 (IU/L) increase in basal LH: B=0.2*1.63=0.326. Point associated with each category of each predictor was calculated according to the formula: </w:t>
      </w:r>
      <w:proofErr w:type="spellStart"/>
      <w:r w:rsidRPr="000D39F8">
        <w:rPr>
          <w:rFonts w:ascii="Times New Roman" w:hAnsi="Times New Roman" w:cs="Times New Roman"/>
          <w:sz w:val="20"/>
          <w:szCs w:val="20"/>
        </w:rPr>
        <w:t>Points</w:t>
      </w:r>
      <w:r w:rsidRPr="000D39F8">
        <w:rPr>
          <w:rFonts w:ascii="Times New Roman" w:hAnsi="Times New Roman" w:cs="Times New Roman"/>
          <w:sz w:val="20"/>
          <w:szCs w:val="20"/>
          <w:vertAlign w:val="subscript"/>
        </w:rPr>
        <w:t>ij</w:t>
      </w:r>
      <w:proofErr w:type="spellEnd"/>
      <w:r w:rsidRPr="000D39F8">
        <w:rPr>
          <w:rFonts w:ascii="Times New Roman" w:hAnsi="Times New Roman" w:cs="Times New Roman"/>
          <w:sz w:val="20"/>
          <w:szCs w:val="20"/>
        </w:rPr>
        <w:t>=βi (</w:t>
      </w:r>
      <w:proofErr w:type="spellStart"/>
      <w:r w:rsidRPr="000D39F8">
        <w:rPr>
          <w:rFonts w:ascii="Times New Roman" w:hAnsi="Times New Roman" w:cs="Times New Roman"/>
          <w:sz w:val="20"/>
          <w:szCs w:val="20"/>
        </w:rPr>
        <w:t>W</w:t>
      </w:r>
      <w:r w:rsidRPr="000D39F8">
        <w:rPr>
          <w:rFonts w:ascii="Times New Roman" w:hAnsi="Times New Roman" w:cs="Times New Roman"/>
          <w:sz w:val="20"/>
          <w:szCs w:val="20"/>
          <w:vertAlign w:val="subscript"/>
        </w:rPr>
        <w:t>ij</w:t>
      </w:r>
      <w:r w:rsidRPr="000D39F8">
        <w:rPr>
          <w:rFonts w:ascii="Times New Roman" w:hAnsi="Times New Roman" w:cs="Times New Roman"/>
          <w:sz w:val="20"/>
          <w:szCs w:val="20"/>
        </w:rPr>
        <w:t>-W</w:t>
      </w:r>
      <w:r w:rsidRPr="000D39F8">
        <w:rPr>
          <w:rFonts w:ascii="Times New Roman" w:hAnsi="Times New Roman" w:cs="Times New Roman"/>
          <w:sz w:val="20"/>
          <w:szCs w:val="20"/>
          <w:vertAlign w:val="subscript"/>
        </w:rPr>
        <w:t>iREF</w:t>
      </w:r>
      <w:proofErr w:type="spellEnd"/>
      <w:r w:rsidRPr="000D39F8">
        <w:rPr>
          <w:rFonts w:ascii="Times New Roman" w:hAnsi="Times New Roman" w:cs="Times New Roman"/>
          <w:sz w:val="20"/>
          <w:szCs w:val="20"/>
        </w:rPr>
        <w:t>)/B</w:t>
      </w:r>
      <w:r w:rsidRPr="000D39F8">
        <w:rPr>
          <w:rFonts w:ascii="Times New Roman" w:eastAsia="Arial Unicode MS" w:hAnsi="Times New Roman" w:cs="Times New Roman"/>
          <w:sz w:val="20"/>
          <w:szCs w:val="20"/>
        </w:rPr>
        <w:t xml:space="preserve">. </w:t>
      </w:r>
      <w:r w:rsidRPr="000D39F8">
        <w:rPr>
          <w:rFonts w:ascii="Times New Roman" w:hAnsi="Times New Roman" w:cs="Times New Roman"/>
          <w:sz w:val="20"/>
          <w:szCs w:val="20"/>
        </w:rPr>
        <w:t>The points are rounded to the nearest integer (Appendix Table 2). The points total was calculated and multiplied by the constant (B=0.326). Based on the sum of total point, the estimate of the intercept, and the base values for each risk factor (onset age, basal LH, largest ovarian volume score, and uterine volume score) added back to the model, we estimated the risk of CPP according to the formula:</w:t>
      </w:r>
    </w:p>
    <w:p w:rsidR="00D2604B" w:rsidRPr="000D39F8" w:rsidRDefault="00D2604B" w:rsidP="00D2604B">
      <w:pPr>
        <w:rPr>
          <w:rFonts w:ascii="Times New Roman" w:hAnsi="Times New Roman" w:cs="Times New Roman"/>
          <w:sz w:val="20"/>
          <w:szCs w:val="20"/>
        </w:rPr>
      </w:pPr>
      <w:r w:rsidRPr="000D39F8">
        <w:rPr>
          <w:rFonts w:ascii="Times New Roman" w:hAnsi="Times New Roman" w:cs="Times New Roman"/>
          <w:sz w:val="20"/>
          <w:szCs w:val="20"/>
        </w:rPr>
        <w:t xml:space="preserve"> </w:t>
      </w:r>
      <m:oMath>
        <m:acc>
          <m:accPr>
            <m:ctrlPr>
              <w:rPr>
                <w:rFonts w:ascii="Cambria Math" w:hAnsi="Cambria Math" w:cs="Times New Roman"/>
                <w:sz w:val="20"/>
                <w:szCs w:val="20"/>
              </w:rPr>
            </m:ctrlPr>
          </m:accPr>
          <m:e>
            <m:r>
              <w:rPr>
                <w:rFonts w:ascii="Cambria Math" w:hAnsi="Cambria Math" w:cs="Times New Roman"/>
                <w:sz w:val="20"/>
                <w:szCs w:val="20"/>
              </w:rPr>
              <m:t>p</m:t>
            </m:r>
          </m:e>
        </m:acc>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1</m:t>
            </m:r>
          </m:num>
          <m:den>
            <m:r>
              <w:rPr>
                <w:rFonts w:ascii="Cambria Math" w:hAnsi="Cambria Math" w:cs="Times New Roman"/>
                <w:sz w:val="20"/>
                <w:szCs w:val="20"/>
              </w:rPr>
              <m:t>1+</m:t>
            </m:r>
            <m:r>
              <m:rPr>
                <m:sty m:val="p"/>
              </m:rPr>
              <w:rPr>
                <w:rFonts w:ascii="Cambria Math" w:hAnsi="Cambria Math" w:cs="Times New Roman"/>
                <w:sz w:val="20"/>
                <w:szCs w:val="20"/>
              </w:rPr>
              <m:t>exp⁡(-</m:t>
            </m:r>
            <m:nary>
              <m:naryPr>
                <m:chr m:val="∑"/>
                <m:limLoc m:val="subSup"/>
                <m:ctrlPr>
                  <w:rPr>
                    <w:rFonts w:ascii="Cambria Math" w:hAnsi="Cambria Math" w:cs="Times New Roman"/>
                    <w:sz w:val="20"/>
                    <w:szCs w:val="20"/>
                  </w:rPr>
                </m:ctrlPr>
              </m:naryPr>
              <m:sub>
                <m:r>
                  <w:rPr>
                    <w:rFonts w:ascii="Cambria Math" w:hAnsi="Cambria Math" w:cs="Times New Roman"/>
                    <w:sz w:val="20"/>
                    <w:szCs w:val="20"/>
                  </w:rPr>
                  <m:t>i=</m:t>
                </m:r>
                <m:r>
                  <m:rPr>
                    <m:sty m:val="p"/>
                  </m:rPr>
                  <w:rPr>
                    <w:rFonts w:ascii="Cambria Math" w:hAnsi="Cambria Math" w:cs="Times New Roman"/>
                    <w:sz w:val="20"/>
                    <w:szCs w:val="20"/>
                  </w:rPr>
                  <m:t>0</m:t>
                </m:r>
              </m:sub>
              <m:sup>
                <m:r>
                  <w:rPr>
                    <w:rFonts w:ascii="Cambria Math" w:hAnsi="Cambria Math" w:cs="Times New Roman"/>
                    <w:sz w:val="20"/>
                    <w:szCs w:val="20"/>
                  </w:rPr>
                  <m:t>p</m:t>
                </m:r>
              </m:sup>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m:t>
                </m:r>
              </m:e>
            </m:nary>
          </m:den>
        </m:f>
      </m:oMath>
      <w:r w:rsidRPr="000D39F8">
        <w:rPr>
          <w:rFonts w:ascii="Times New Roman" w:hAnsi="Times New Roman" w:cs="Times New Roman"/>
          <w:sz w:val="20"/>
          <w:szCs w:val="20"/>
        </w:rPr>
        <w:t xml:space="preserve">, </w:t>
      </w:r>
      <m:oMath>
        <m:nary>
          <m:naryPr>
            <m:chr m:val="∑"/>
            <m:limLoc m:val="subSup"/>
            <m:ctrlPr>
              <w:rPr>
                <w:rFonts w:ascii="Cambria Math" w:hAnsi="Cambria Math" w:cs="Times New Roman"/>
                <w:sz w:val="20"/>
                <w:szCs w:val="20"/>
              </w:rPr>
            </m:ctrlPr>
          </m:naryPr>
          <m:sub>
            <m:r>
              <w:rPr>
                <w:rFonts w:ascii="Cambria Math" w:hAnsi="Cambria Math" w:cs="Times New Roman"/>
                <w:sz w:val="20"/>
                <w:szCs w:val="20"/>
              </w:rPr>
              <m:t>i=</m:t>
            </m:r>
            <m:r>
              <m:rPr>
                <m:sty m:val="p"/>
              </m:rPr>
              <w:rPr>
                <w:rFonts w:ascii="Cambria Math" w:hAnsi="Cambria Math" w:cs="Times New Roman"/>
                <w:sz w:val="20"/>
                <w:szCs w:val="20"/>
              </w:rPr>
              <m:t>0</m:t>
            </m:r>
          </m:sub>
          <m:sup>
            <m:r>
              <w:rPr>
                <w:rFonts w:ascii="Cambria Math" w:hAnsi="Cambria Math" w:cs="Times New Roman"/>
                <w:sz w:val="20"/>
                <w:szCs w:val="20"/>
              </w:rPr>
              <m:t>p</m:t>
            </m:r>
          </m:sup>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i</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nary>
      </m:oMath>
      <w:r w:rsidRPr="000D39F8">
        <w:rPr>
          <w:rFonts w:ascii="Times New Roman" w:hAnsi="Times New Roman" w:cs="Times New Roman"/>
          <w:sz w:val="20"/>
          <w:szCs w:val="20"/>
        </w:rPr>
        <w:t>=-6.42+0.45*0.5+1.63*0.1+0.66*1+0.85*1+B*(Point total)].</w:t>
      </w:r>
    </w:p>
    <w:p w:rsidR="00D2604B" w:rsidRDefault="00D2604B" w:rsidP="00D2604B">
      <w:pPr>
        <w:rPr>
          <w:rFonts w:ascii="Times New Roman" w:hAnsi="Times New Roman" w:cs="Times New Roman"/>
          <w:szCs w:val="21"/>
        </w:rPr>
      </w:pPr>
    </w:p>
    <w:p w:rsidR="00D2604B" w:rsidRPr="000D39F8" w:rsidRDefault="00D2604B" w:rsidP="00D2604B">
      <w:pPr>
        <w:rPr>
          <w:rFonts w:ascii="Times New Roman" w:hAnsi="Times New Roman" w:cs="Times New Roman"/>
          <w:b/>
          <w:sz w:val="20"/>
          <w:szCs w:val="20"/>
        </w:rPr>
      </w:pPr>
      <w:r w:rsidRPr="000D39F8">
        <w:rPr>
          <w:rFonts w:ascii="Times New Roman" w:hAnsi="Times New Roman" w:cs="Times New Roman" w:hint="eastAsia"/>
          <w:b/>
          <w:sz w:val="20"/>
          <w:szCs w:val="20"/>
        </w:rPr>
        <w:t>Reference</w:t>
      </w:r>
    </w:p>
    <w:p w:rsidR="00D2604B" w:rsidRPr="00646AC9" w:rsidRDefault="00D2604B" w:rsidP="00D2604B">
      <w:pPr>
        <w:pStyle w:val="EndNoteBibliography"/>
        <w:numPr>
          <w:ilvl w:val="0"/>
          <w:numId w:val="1"/>
        </w:numPr>
        <w:rPr>
          <w:rFonts w:ascii="Times New Roman" w:hAnsi="Times New Roman" w:cs="Times New Roman"/>
        </w:rPr>
      </w:pPr>
      <w:r w:rsidRPr="00646AC9">
        <w:rPr>
          <w:rFonts w:ascii="Times New Roman" w:hAnsi="Times New Roman" w:cs="Times New Roman"/>
        </w:rPr>
        <w:t xml:space="preserve">Sullivan LM, Massaro JM, D'Agostino RB, Sr. Presentation of multivariate data for clinical use: The Framingham Study risk score functions. </w:t>
      </w:r>
      <w:r w:rsidRPr="00646AC9">
        <w:rPr>
          <w:rFonts w:ascii="Times New Roman" w:hAnsi="Times New Roman" w:cs="Times New Roman"/>
          <w:i/>
        </w:rPr>
        <w:t xml:space="preserve">Statistics in medicine. </w:t>
      </w:r>
      <w:r w:rsidRPr="00646AC9">
        <w:rPr>
          <w:rFonts w:ascii="Times New Roman" w:hAnsi="Times New Roman" w:cs="Times New Roman"/>
        </w:rPr>
        <w:t>2004;23(10):1631-1660.</w:t>
      </w:r>
    </w:p>
    <w:p w:rsidR="00863E8E" w:rsidRDefault="00863E8E">
      <w:bookmarkStart w:id="0" w:name="_GoBack"/>
      <w:bookmarkEnd w:id="0"/>
    </w:p>
    <w:sectPr w:rsidR="00863E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50E06"/>
    <w:multiLevelType w:val="hybridMultilevel"/>
    <w:tmpl w:val="A198E99A"/>
    <w:lvl w:ilvl="0" w:tplc="1FB6CB5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4B"/>
    <w:rsid w:val="00863E8E"/>
    <w:rsid w:val="00D26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D2604B"/>
    <w:pPr>
      <w:jc w:val="left"/>
    </w:pPr>
    <w:rPr>
      <w:rFonts w:ascii="Calibri" w:hAnsi="Calibri"/>
      <w:noProof/>
      <w:sz w:val="20"/>
    </w:rPr>
  </w:style>
  <w:style w:type="character" w:customStyle="1" w:styleId="EndNoteBibliographyChar">
    <w:name w:val="EndNote Bibliography Char"/>
    <w:basedOn w:val="a0"/>
    <w:link w:val="EndNoteBibliography"/>
    <w:rsid w:val="00D2604B"/>
    <w:rPr>
      <w:rFonts w:ascii="Calibri" w:hAnsi="Calibri"/>
      <w:noProof/>
      <w:sz w:val="20"/>
    </w:rPr>
  </w:style>
  <w:style w:type="paragraph" w:styleId="a3">
    <w:name w:val="Balloon Text"/>
    <w:basedOn w:val="a"/>
    <w:link w:val="Char"/>
    <w:uiPriority w:val="99"/>
    <w:semiHidden/>
    <w:unhideWhenUsed/>
    <w:rsid w:val="00D2604B"/>
    <w:rPr>
      <w:sz w:val="18"/>
      <w:szCs w:val="18"/>
    </w:rPr>
  </w:style>
  <w:style w:type="character" w:customStyle="1" w:styleId="Char">
    <w:name w:val="批注框文本 Char"/>
    <w:basedOn w:val="a0"/>
    <w:link w:val="a3"/>
    <w:uiPriority w:val="99"/>
    <w:semiHidden/>
    <w:rsid w:val="00D260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D2604B"/>
    <w:pPr>
      <w:jc w:val="left"/>
    </w:pPr>
    <w:rPr>
      <w:rFonts w:ascii="Calibri" w:hAnsi="Calibri"/>
      <w:noProof/>
      <w:sz w:val="20"/>
    </w:rPr>
  </w:style>
  <w:style w:type="character" w:customStyle="1" w:styleId="EndNoteBibliographyChar">
    <w:name w:val="EndNote Bibliography Char"/>
    <w:basedOn w:val="a0"/>
    <w:link w:val="EndNoteBibliography"/>
    <w:rsid w:val="00D2604B"/>
    <w:rPr>
      <w:rFonts w:ascii="Calibri" w:hAnsi="Calibri"/>
      <w:noProof/>
      <w:sz w:val="20"/>
    </w:rPr>
  </w:style>
  <w:style w:type="paragraph" w:styleId="a3">
    <w:name w:val="Balloon Text"/>
    <w:basedOn w:val="a"/>
    <w:link w:val="Char"/>
    <w:uiPriority w:val="99"/>
    <w:semiHidden/>
    <w:unhideWhenUsed/>
    <w:rsid w:val="00D2604B"/>
    <w:rPr>
      <w:sz w:val="18"/>
      <w:szCs w:val="18"/>
    </w:rPr>
  </w:style>
  <w:style w:type="character" w:customStyle="1" w:styleId="Char">
    <w:name w:val="批注框文本 Char"/>
    <w:basedOn w:val="a0"/>
    <w:link w:val="a3"/>
    <w:uiPriority w:val="99"/>
    <w:semiHidden/>
    <w:rsid w:val="00D260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c:creator>
  <cp:lastModifiedBy>Ye</cp:lastModifiedBy>
  <cp:revision>1</cp:revision>
  <dcterms:created xsi:type="dcterms:W3CDTF">2020-09-07T11:23:00Z</dcterms:created>
  <dcterms:modified xsi:type="dcterms:W3CDTF">2020-09-07T11:23:00Z</dcterms:modified>
</cp:coreProperties>
</file>