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3614" w14:textId="77777777" w:rsidR="006666A6" w:rsidRPr="007853E3" w:rsidRDefault="006666A6" w:rsidP="006666A6">
      <w:pPr>
        <w:snapToGrid w:val="0"/>
        <w:spacing w:before="120" w:line="300" w:lineRule="auto"/>
        <w:rPr>
          <w:rFonts w:ascii="Times New Roman" w:hAnsi="Times New Roman" w:cs="Times New Roman"/>
          <w:b/>
          <w:bCs/>
          <w:sz w:val="22"/>
        </w:rPr>
      </w:pPr>
      <w:r w:rsidRPr="007853E3">
        <w:rPr>
          <w:rFonts w:ascii="Times New Roman" w:hAnsi="Times New Roman" w:cs="Times New Roman"/>
          <w:b/>
          <w:bCs/>
          <w:sz w:val="22"/>
        </w:rPr>
        <w:t xml:space="preserve">Supplemental </w:t>
      </w:r>
      <w:r w:rsidRPr="007853E3">
        <w:rPr>
          <w:rFonts w:ascii="Times New Roman" w:hAnsi="Times New Roman" w:cs="Times New Roman" w:hint="eastAsia"/>
          <w:b/>
          <w:bCs/>
          <w:sz w:val="22"/>
        </w:rPr>
        <w:t>materials</w:t>
      </w:r>
    </w:p>
    <w:p w14:paraId="6EF75C6D" w14:textId="77777777" w:rsidR="006666A6" w:rsidRDefault="006666A6" w:rsidP="006666A6">
      <w:pPr>
        <w:snapToGrid w:val="0"/>
        <w:spacing w:before="120" w:line="300" w:lineRule="auto"/>
        <w:rPr>
          <w:rFonts w:ascii="Times New Roman" w:hAnsi="Times New Roman" w:cs="Times New Roman"/>
          <w:sz w:val="22"/>
        </w:rPr>
      </w:pPr>
    </w:p>
    <w:tbl>
      <w:tblPr>
        <w:tblW w:w="9461" w:type="dxa"/>
        <w:tblInd w:w="108" w:type="dxa"/>
        <w:tblLook w:val="04A0" w:firstRow="1" w:lastRow="0" w:firstColumn="1" w:lastColumn="0" w:noHBand="0" w:noVBand="1"/>
      </w:tblPr>
      <w:tblGrid>
        <w:gridCol w:w="2136"/>
        <w:gridCol w:w="7325"/>
      </w:tblGrid>
      <w:tr w:rsidR="006666A6" w14:paraId="2F36DEAF" w14:textId="77777777" w:rsidTr="00383721">
        <w:trPr>
          <w:trHeight w:val="568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A1C686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73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49BF26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 sequence</w:t>
            </w:r>
            <w:r>
              <w:rPr>
                <w:rFonts w:asci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5'-3')</w:t>
            </w:r>
          </w:p>
        </w:tc>
      </w:tr>
      <w:tr w:rsidR="006666A6" w14:paraId="5C3111A2" w14:textId="77777777" w:rsidTr="00383721">
        <w:trPr>
          <w:trHeight w:val="574"/>
        </w:trPr>
        <w:tc>
          <w:tcPr>
            <w:tcW w:w="2136" w:type="dxa"/>
            <w:tcBorders>
              <w:top w:val="single" w:sz="4" w:space="0" w:color="auto"/>
            </w:tcBorders>
            <w:hideMark/>
          </w:tcPr>
          <w:p w14:paraId="6709BD28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Sm16srDNA-F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hideMark/>
          </w:tcPr>
          <w:p w14:paraId="7BAAA2B6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AGCGTTGTCCGGATTTATTG</w:t>
            </w:r>
          </w:p>
        </w:tc>
      </w:tr>
      <w:tr w:rsidR="006666A6" w14:paraId="67D1EF59" w14:textId="77777777" w:rsidTr="00383721">
        <w:trPr>
          <w:trHeight w:val="568"/>
        </w:trPr>
        <w:tc>
          <w:tcPr>
            <w:tcW w:w="2136" w:type="dxa"/>
            <w:hideMark/>
          </w:tcPr>
          <w:p w14:paraId="617E54E2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Sm16srDNA-R</w:t>
            </w:r>
          </w:p>
        </w:tc>
        <w:tc>
          <w:tcPr>
            <w:tcW w:w="7325" w:type="dxa"/>
            <w:hideMark/>
          </w:tcPr>
          <w:p w14:paraId="468B448F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CTACGCATTTCACCGCTACA</w:t>
            </w:r>
          </w:p>
        </w:tc>
      </w:tr>
      <w:tr w:rsidR="006666A6" w14:paraId="45FEF4F6" w14:textId="77777777" w:rsidTr="00383721">
        <w:trPr>
          <w:trHeight w:val="574"/>
        </w:trPr>
        <w:tc>
          <w:tcPr>
            <w:tcW w:w="2136" w:type="dxa"/>
            <w:hideMark/>
          </w:tcPr>
          <w:p w14:paraId="7BD81B85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SMU_651c-F</w:t>
            </w:r>
          </w:p>
        </w:tc>
        <w:tc>
          <w:tcPr>
            <w:tcW w:w="7325" w:type="dxa"/>
            <w:hideMark/>
          </w:tcPr>
          <w:p w14:paraId="2CA4B6A0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bookmarkStart w:id="0" w:name="RANGE!C14"/>
            <w:r>
              <w:rPr>
                <w:rFonts w:ascii="Times New Roman" w:hAnsi="Times New Roman" w:cs="Times New Roman"/>
              </w:rPr>
              <w:t>AACCTGCCCTAACTGATCGC</w:t>
            </w:r>
            <w:bookmarkEnd w:id="0"/>
          </w:p>
        </w:tc>
      </w:tr>
      <w:tr w:rsidR="006666A6" w14:paraId="67B27588" w14:textId="77777777" w:rsidTr="00383721">
        <w:trPr>
          <w:trHeight w:val="568"/>
        </w:trPr>
        <w:tc>
          <w:tcPr>
            <w:tcW w:w="2136" w:type="dxa"/>
            <w:hideMark/>
          </w:tcPr>
          <w:p w14:paraId="61085D3A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SMU_651c-R</w:t>
            </w:r>
          </w:p>
        </w:tc>
        <w:tc>
          <w:tcPr>
            <w:tcW w:w="7325" w:type="dxa"/>
            <w:hideMark/>
          </w:tcPr>
          <w:p w14:paraId="18ED6E70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bookmarkStart w:id="1" w:name="RANGE!C15"/>
            <w:r>
              <w:rPr>
                <w:rFonts w:ascii="Times New Roman" w:hAnsi="Times New Roman" w:cs="Times New Roman"/>
              </w:rPr>
              <w:t>AGTCTGCTGCCGAGCTAAAA</w:t>
            </w:r>
            <w:bookmarkEnd w:id="1"/>
          </w:p>
        </w:tc>
      </w:tr>
      <w:tr w:rsidR="006666A6" w14:paraId="6AE25F8B" w14:textId="77777777" w:rsidTr="00383721">
        <w:trPr>
          <w:trHeight w:val="568"/>
        </w:trPr>
        <w:tc>
          <w:tcPr>
            <w:tcW w:w="2136" w:type="dxa"/>
            <w:hideMark/>
          </w:tcPr>
          <w:p w14:paraId="4453E11C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SMU_652c-F</w:t>
            </w:r>
          </w:p>
        </w:tc>
        <w:tc>
          <w:tcPr>
            <w:tcW w:w="7325" w:type="dxa"/>
            <w:hideMark/>
          </w:tcPr>
          <w:p w14:paraId="60EFCEEE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AGCTGGTCTTGGTGTCATGG</w:t>
            </w:r>
          </w:p>
        </w:tc>
      </w:tr>
      <w:tr w:rsidR="006666A6" w14:paraId="337A154C" w14:textId="77777777" w:rsidTr="00383721">
        <w:trPr>
          <w:trHeight w:val="574"/>
        </w:trPr>
        <w:tc>
          <w:tcPr>
            <w:tcW w:w="2136" w:type="dxa"/>
            <w:hideMark/>
          </w:tcPr>
          <w:p w14:paraId="09784498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SMU_652c-R</w:t>
            </w:r>
          </w:p>
        </w:tc>
        <w:tc>
          <w:tcPr>
            <w:tcW w:w="7325" w:type="dxa"/>
            <w:hideMark/>
          </w:tcPr>
          <w:p w14:paraId="65EC40AD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AGAAGCAAGATGCAGGCTGA</w:t>
            </w:r>
          </w:p>
        </w:tc>
      </w:tr>
      <w:tr w:rsidR="006666A6" w14:paraId="72F9F493" w14:textId="77777777" w:rsidTr="00383721">
        <w:trPr>
          <w:trHeight w:val="568"/>
        </w:trPr>
        <w:tc>
          <w:tcPr>
            <w:tcW w:w="2136" w:type="dxa"/>
            <w:hideMark/>
          </w:tcPr>
          <w:p w14:paraId="6D8FE663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SMU_653c-F</w:t>
            </w:r>
          </w:p>
        </w:tc>
        <w:tc>
          <w:tcPr>
            <w:tcW w:w="7325" w:type="dxa"/>
            <w:hideMark/>
          </w:tcPr>
          <w:p w14:paraId="448665BE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ACCGTATTTAACGCCCAGCA</w:t>
            </w:r>
          </w:p>
        </w:tc>
      </w:tr>
      <w:tr w:rsidR="006666A6" w14:paraId="5270CD5E" w14:textId="77777777" w:rsidTr="00383721">
        <w:trPr>
          <w:trHeight w:val="574"/>
        </w:trPr>
        <w:tc>
          <w:tcPr>
            <w:tcW w:w="2136" w:type="dxa"/>
            <w:tcBorders>
              <w:bottom w:val="single" w:sz="4" w:space="0" w:color="auto"/>
            </w:tcBorders>
            <w:hideMark/>
          </w:tcPr>
          <w:p w14:paraId="7A28A156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SMU_653c-R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hideMark/>
          </w:tcPr>
          <w:p w14:paraId="03C25CDA" w14:textId="77777777" w:rsidR="006666A6" w:rsidRDefault="006666A6" w:rsidP="007F6F4F">
            <w:pPr>
              <w:spacing w:line="360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TTGCTCATGTTGCCCTTCCA</w:t>
            </w:r>
          </w:p>
        </w:tc>
      </w:tr>
    </w:tbl>
    <w:p w14:paraId="4C837580" w14:textId="380B08A8" w:rsidR="006666A6" w:rsidRDefault="00EA02AA" w:rsidP="006666A6">
      <w:pPr>
        <w:snapToGrid w:val="0"/>
        <w:spacing w:before="120" w:line="300" w:lineRule="auto"/>
        <w:ind w:firstLine="440"/>
        <w:jc w:val="center"/>
        <w:rPr>
          <w:rFonts w:ascii="Times New Roman" w:hAnsi="Times New Roman" w:cs="Times New Roman"/>
          <w:sz w:val="22"/>
        </w:rPr>
      </w:pPr>
      <w:r w:rsidRPr="00EA02AA">
        <w:rPr>
          <w:rFonts w:ascii="Times New Roman" w:hAnsi="Times New Roman" w:cs="Times New Roman"/>
          <w:i/>
          <w:iCs/>
          <w:sz w:val="22"/>
        </w:rPr>
        <w:t>Supplemental Table</w:t>
      </w:r>
      <w:r>
        <w:rPr>
          <w:rFonts w:ascii="Times New Roman" w:hAnsi="Times New Roman" w:cs="Times New Roman"/>
          <w:i/>
          <w:iCs/>
          <w:sz w:val="22"/>
        </w:rPr>
        <w:t>1</w:t>
      </w:r>
      <w:r w:rsidR="006666A6">
        <w:rPr>
          <w:rFonts w:ascii="Times New Roman" w:hAnsi="Times New Roman" w:cs="Times New Roman"/>
          <w:sz w:val="22"/>
        </w:rPr>
        <w:t>. Quantitative reverse transcription polymerase chain reaction primers</w:t>
      </w:r>
    </w:p>
    <w:p w14:paraId="6A3F8DFB" w14:textId="77777777" w:rsidR="006666A6" w:rsidRDefault="006666A6" w:rsidP="006666A6">
      <w:pPr>
        <w:snapToGrid w:val="0"/>
        <w:spacing w:before="120" w:line="300" w:lineRule="auto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bottomFromText="200" w:vertAnchor="text" w:horzAnchor="page" w:tblpX="1913" w:tblpY="28"/>
        <w:tblOverlap w:val="never"/>
        <w:tblW w:w="76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099"/>
        <w:gridCol w:w="1835"/>
        <w:gridCol w:w="2068"/>
      </w:tblGrid>
      <w:tr w:rsidR="006666A6" w14:paraId="2DB34D7D" w14:textId="77777777" w:rsidTr="00EA02AA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D84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3426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GO term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74EE0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No. of up gene</w:t>
            </w:r>
          </w:p>
          <w:p w14:paraId="07C9989B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S.mutans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-V.parvula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dual biofilm</w:t>
            </w:r>
          </w:p>
          <w:p w14:paraId="5BF032BF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VS</w:t>
            </w:r>
          </w:p>
          <w:p w14:paraId="28D7AB52" w14:textId="77777777" w:rsidR="006666A6" w:rsidRDefault="006666A6" w:rsidP="007F6F4F">
            <w:pPr>
              <w:widowControl/>
              <w:spacing w:line="180" w:lineRule="auto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S.mutans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mono biofilm)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42BC6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No. of up gene</w:t>
            </w:r>
          </w:p>
          <w:p w14:paraId="0AA0339C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S.mutans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-V.parvula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dual biofilm</w:t>
            </w:r>
          </w:p>
          <w:p w14:paraId="3EE891B5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VS</w:t>
            </w:r>
          </w:p>
          <w:p w14:paraId="7B2AA2C5" w14:textId="77777777" w:rsidR="006666A6" w:rsidRDefault="006666A6" w:rsidP="007F6F4F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S.mutans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mono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biofilm)</w:t>
            </w:r>
          </w:p>
        </w:tc>
      </w:tr>
      <w:tr w:rsidR="006666A6" w14:paraId="08CF5C96" w14:textId="77777777" w:rsidTr="00EA02AA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079D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Biological process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02219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biological regulation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8FADD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CCBB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5600889D" w14:textId="77777777" w:rsidTr="00EA02AA">
        <w:trPr>
          <w:trHeight w:val="65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8FB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8C27B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cellular component organization or biogenesis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9DD92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611AA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5DFF55C9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5D16A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FBC4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7CC4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4DF1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4A03FE0F" w14:textId="77777777" w:rsidTr="00EA02AA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F77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40B8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establishment of localization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A696B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B1CF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7FDDD508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671B9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58BB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localization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EC11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1F9E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57236009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8F4F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0D03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FE9C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93CE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00B132F2" w14:textId="77777777" w:rsidTr="00EA02AA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107D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D4F5F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ABFB1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89B0D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3948D269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0CA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D8ED2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D102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27680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5AE1926F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CBA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E9B4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75D5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59492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477BDDE3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B8DA9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Cellular component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63E00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542EB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4FEB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40C8109E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2487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251CA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8B13D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4387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26B8F52C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44E1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95084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extracellular region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BD8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ED61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688A8F42" w14:textId="77777777" w:rsidTr="00EA02AA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25C59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8120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macromolecular complex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F6457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954E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145B0F15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6CE6A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9808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membrane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10C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4B7C6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269FF141" w14:textId="77777777" w:rsidTr="00EA02AA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5EB1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35969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membrane-enclosed lumen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9D1F6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8826A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66B0A739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0EC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F8D31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membrane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8458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1074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4A68289C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28A6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0343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organelle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AF2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DD44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63E47F2B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B746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5C0A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organelle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CF121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B61D2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1D69077C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F7235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D301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binding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A140F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03E0B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3E2303CE" w14:textId="77777777" w:rsidTr="00EA02AA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0F191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0397D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catalytic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A6D3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DAEA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62E3F80D" w14:textId="77777777" w:rsidTr="00EA02AA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5D152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C2EAC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molecular transducer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6E4D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F5670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7366069B" w14:textId="77777777" w:rsidTr="00EA02AA">
        <w:trPr>
          <w:trHeight w:val="65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041B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A638A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nucleic acid binding transcription factor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975E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D17C7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66A6" w14:paraId="23AA0357" w14:textId="77777777" w:rsidTr="00EA02AA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55EE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55B69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structural molecule activity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09DB8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F55C3" w14:textId="77777777" w:rsidR="006666A6" w:rsidRDefault="006666A6" w:rsidP="007F6F4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4C4EF0DA" w14:textId="61A75033" w:rsidR="006666A6" w:rsidRDefault="00EA02AA" w:rsidP="00EA02AA">
      <w:pPr>
        <w:snapToGrid w:val="0"/>
        <w:spacing w:before="120" w:line="300" w:lineRule="auto"/>
        <w:jc w:val="center"/>
        <w:rPr>
          <w:rFonts w:ascii="Times New Roman" w:hAnsi="Times New Roman" w:cs="Times New Roman"/>
          <w:sz w:val="22"/>
        </w:rPr>
      </w:pPr>
      <w:r w:rsidRPr="00EA02AA">
        <w:rPr>
          <w:rFonts w:ascii="Times New Roman" w:hAnsi="Times New Roman" w:cs="Times New Roman"/>
          <w:i/>
          <w:iCs/>
          <w:sz w:val="22"/>
        </w:rPr>
        <w:t>Supplemental Table</w:t>
      </w:r>
      <w:r>
        <w:rPr>
          <w:rFonts w:ascii="Times New Roman" w:hAnsi="Times New Roman" w:cs="Times New Roman"/>
          <w:i/>
          <w:iCs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  <w:r w:rsidR="006666A6">
        <w:rPr>
          <w:rFonts w:ascii="Times New Roman" w:hAnsi="Times New Roman" w:cs="Times New Roman"/>
          <w:sz w:val="22"/>
        </w:rPr>
        <w:t xml:space="preserve"> The gene expression difference of </w:t>
      </w:r>
      <w:r w:rsidR="006666A6">
        <w:rPr>
          <w:rFonts w:ascii="Times New Roman" w:hAnsi="Times New Roman" w:cs="Times New Roman"/>
          <w:i/>
          <w:sz w:val="22"/>
        </w:rPr>
        <w:t>S. mutans</w:t>
      </w:r>
      <w:r w:rsidR="006666A6">
        <w:rPr>
          <w:rFonts w:ascii="Times New Roman" w:hAnsi="Times New Roman" w:cs="Times New Roman"/>
          <w:sz w:val="22"/>
        </w:rPr>
        <w:t xml:space="preserve"> and </w:t>
      </w:r>
      <w:r w:rsidR="006666A6">
        <w:rPr>
          <w:rFonts w:ascii="Times New Roman" w:hAnsi="Times New Roman" w:cs="Times New Roman"/>
          <w:i/>
          <w:sz w:val="22"/>
        </w:rPr>
        <w:t xml:space="preserve">S. mutans-V. </w:t>
      </w:r>
      <w:proofErr w:type="spellStart"/>
      <w:r w:rsidR="006666A6">
        <w:rPr>
          <w:rFonts w:ascii="Times New Roman" w:hAnsi="Times New Roman" w:cs="Times New Roman"/>
          <w:i/>
          <w:sz w:val="22"/>
        </w:rPr>
        <w:t>parvula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r w:rsidR="006666A6">
        <w:rPr>
          <w:rFonts w:ascii="Times New Roman" w:hAnsi="Times New Roman" w:cs="Times New Roman"/>
          <w:sz w:val="22"/>
        </w:rPr>
        <w:t>dual biofilm</w:t>
      </w:r>
    </w:p>
    <w:p w14:paraId="2C677EA5" w14:textId="1972452E" w:rsidR="00EA02AA" w:rsidRPr="003761C0" w:rsidRDefault="00EA02AA" w:rsidP="00EA02AA">
      <w:pPr>
        <w:spacing w:line="300" w:lineRule="auto"/>
        <w:jc w:val="center"/>
        <w:rPr>
          <w:rFonts w:ascii="Times New Roman" w:hAnsi="Times New Roman" w:cs="Times New Roman"/>
          <w:color w:val="101214"/>
          <w:szCs w:val="21"/>
          <w:shd w:val="clear" w:color="auto" w:fill="FFFFFF"/>
        </w:rPr>
      </w:pPr>
    </w:p>
    <w:tbl>
      <w:tblPr>
        <w:tblpPr w:leftFromText="180" w:rightFromText="180" w:bottomFromText="200" w:vertAnchor="text" w:horzAnchor="page" w:tblpX="1913" w:tblpY="28"/>
        <w:tblOverlap w:val="never"/>
        <w:tblW w:w="76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099"/>
        <w:gridCol w:w="1835"/>
        <w:gridCol w:w="2068"/>
      </w:tblGrid>
      <w:tr w:rsidR="00EA02AA" w14:paraId="7BA49A43" w14:textId="77777777" w:rsidTr="000F6BD8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9F22" w14:textId="77777777" w:rsidR="00EA02AA" w:rsidRPr="009835C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0CA19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GO term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5E664" w14:textId="77777777" w:rsidR="00EA02AA" w:rsidRDefault="00EA02AA" w:rsidP="000F6BD8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No. of up gene</w:t>
            </w:r>
          </w:p>
          <w:p w14:paraId="4E0464D7" w14:textId="68D05AF3" w:rsidR="00EA02AA" w:rsidRDefault="00EA02AA" w:rsidP="000F6BD8">
            <w:pPr>
              <w:widowControl/>
              <w:spacing w:line="180" w:lineRule="auto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</w:t>
            </w:r>
            <w:proofErr w:type="gram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-vp</w:t>
            </w:r>
            <w:proofErr w:type="spell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250 vs </w:t>
            </w:r>
            <w:proofErr w:type="spell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sm-vp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D7622" w14:textId="77777777" w:rsidR="00EA02AA" w:rsidRDefault="00EA02AA" w:rsidP="000F6BD8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No. of down gene</w:t>
            </w:r>
          </w:p>
          <w:p w14:paraId="48C9AAA7" w14:textId="07D0F4AB" w:rsidR="00EA02AA" w:rsidRDefault="00EA02AA" w:rsidP="000F6BD8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</w:t>
            </w:r>
            <w:proofErr w:type="gram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-vp</w:t>
            </w:r>
            <w:proofErr w:type="spell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250 vs </w:t>
            </w:r>
            <w:proofErr w:type="spell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sm-vp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A02AA" w14:paraId="04CF89B1" w14:textId="77777777" w:rsidTr="000F6BD8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EF51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Biological process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E9EF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biological regulation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581E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59E1D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A02AA" w14:paraId="48676338" w14:textId="77777777" w:rsidTr="000F6BD8">
        <w:trPr>
          <w:trHeight w:val="65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205E5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8FDAF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cellular component organization or biogenesis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8CDBC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970C1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A02AA" w14:paraId="4BBE0149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43A5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DE4CA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ED6A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E74A6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A02AA" w14:paraId="70C73C3F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42675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447A4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establishment of localization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D696D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21E0A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A02AA" w14:paraId="4FCBA740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3C31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4EEA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localization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4681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B0C82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A02AA" w14:paraId="713120FF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C1BCA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2F08B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2EE5F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F7F3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A02AA" w14:paraId="30AC2269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BCEA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47607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multi-organism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0A05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4137B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A02AA" w14:paraId="34D69F6F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EFF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3683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205BD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2CB85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A02AA" w14:paraId="6FF5DA2D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3CC4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0411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7EA59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40E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A02AA" w14:paraId="14A3ED1F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E9E2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4E8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740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083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EA02AA" w14:paraId="07F2B71F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7362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36E7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immune system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27CD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00C1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0342682A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7CCE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D3719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signaling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7B13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683FD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68E67D2E" w14:textId="77777777" w:rsidTr="000F6BD8">
        <w:trPr>
          <w:trHeight w:val="41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2D246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Cellular component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9980D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B2CA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CB4F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EA02AA" w14:paraId="33DBDF63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42A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3AF14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0700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592C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EA02AA" w14:paraId="5ABA405D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BAA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72CED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macromolecular complex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37524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8F1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A02AA" w14:paraId="2E8E315D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0AA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A4EFC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membrane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505F9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2CEA4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A02AA" w14:paraId="38EA53E5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87B7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B4389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membrane-enclosed lumen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AA04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2D46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A02AA" w14:paraId="6F652A78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15D0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B5B9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membrane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4AB1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4239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EA02AA" w14:paraId="0472DCAD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31A9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CE1D0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organelle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F8BA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C79A0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EA02AA" w14:paraId="77262210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7B64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27B0E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organelle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785C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3036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A02AA" w14:paraId="45B31C36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5C0F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A085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binding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FCC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094A3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EA02AA" w14:paraId="38ABCAD7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2C25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049D3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catalytic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D214F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3B5A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A02AA" w14:paraId="23B22B68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15C6B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453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structural molecule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25E37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52FA8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A02AA" w14:paraId="1648D4A4" w14:textId="77777777" w:rsidTr="000F6BD8">
        <w:trPr>
          <w:trHeight w:val="65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F36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24A6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transporter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C446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9031B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A02AA" w14:paraId="75718AE2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430A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29798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enzyme regulator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E8E9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0344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0D3C05DE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082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546D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molecular transducer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BCEA3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1291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7AB928FC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9CA2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E07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nucleic acid binding transcription factor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E178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8C11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74AB77B2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5052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2E88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protein binding transcription factor activity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01F4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9D2D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711BDAD4" w14:textId="007FE4CB" w:rsidR="00EA02AA" w:rsidRDefault="00EA02AA" w:rsidP="00EA02AA">
      <w:pPr>
        <w:spacing w:line="300" w:lineRule="auto"/>
        <w:ind w:firstLine="420"/>
        <w:jc w:val="center"/>
        <w:rPr>
          <w:rFonts w:ascii="Times New Roman" w:hAnsi="Times New Roman" w:cs="Times New Roman"/>
          <w:sz w:val="22"/>
        </w:rPr>
      </w:pPr>
      <w:r w:rsidRPr="00EA02AA">
        <w:rPr>
          <w:rFonts w:ascii="Times New Roman" w:hAnsi="Times New Roman" w:cs="Times New Roman"/>
          <w:i/>
          <w:iCs/>
          <w:sz w:val="22"/>
        </w:rPr>
        <w:t>Supplemental Table</w:t>
      </w:r>
      <w:r w:rsidR="003761C0">
        <w:rPr>
          <w:rFonts w:ascii="Times New Roman" w:hAnsi="Times New Roman" w:cs="Times New Roman"/>
          <w:i/>
          <w:iCs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Pr="00EA02AA">
        <w:rPr>
          <w:rFonts w:ascii="Times New Roman" w:hAnsi="Times New Roman" w:cs="Times New Roman"/>
          <w:sz w:val="22"/>
        </w:rPr>
        <w:t xml:space="preserve"> The gene expression difference of </w:t>
      </w:r>
      <w:r w:rsidRPr="00EA02AA">
        <w:rPr>
          <w:rFonts w:ascii="Times New Roman" w:hAnsi="Times New Roman" w:cs="Times New Roman"/>
          <w:i/>
          <w:sz w:val="22"/>
        </w:rPr>
        <w:t xml:space="preserve">S. mutans-V. </w:t>
      </w:r>
      <w:proofErr w:type="spellStart"/>
      <w:r w:rsidRPr="00EA02AA">
        <w:rPr>
          <w:rFonts w:ascii="Times New Roman" w:hAnsi="Times New Roman" w:cs="Times New Roman"/>
          <w:i/>
          <w:sz w:val="22"/>
        </w:rPr>
        <w:t>parvula</w:t>
      </w:r>
      <w:proofErr w:type="spellEnd"/>
      <w:r w:rsidRPr="00EA02AA">
        <w:rPr>
          <w:rFonts w:ascii="Times New Roman" w:hAnsi="Times New Roman" w:cs="Times New Roman"/>
          <w:i/>
          <w:sz w:val="22"/>
        </w:rPr>
        <w:t xml:space="preserve"> </w:t>
      </w:r>
      <w:r w:rsidRPr="00EA02AA">
        <w:rPr>
          <w:rFonts w:ascii="Times New Roman" w:hAnsi="Times New Roman" w:cs="Times New Roman"/>
          <w:sz w:val="22"/>
        </w:rPr>
        <w:t xml:space="preserve">dual biofilm </w:t>
      </w:r>
      <w:r w:rsidRPr="00EA02AA">
        <w:rPr>
          <w:rFonts w:ascii="Times New Roman" w:hAnsi="Times New Roman" w:cs="Times New Roman" w:hint="eastAsia"/>
          <w:sz w:val="22"/>
        </w:rPr>
        <w:t>with</w:t>
      </w:r>
      <w:r w:rsidRPr="00EA02AA">
        <w:rPr>
          <w:rFonts w:ascii="Times New Roman" w:hAnsi="Times New Roman" w:cs="Times New Roman"/>
          <w:sz w:val="22"/>
        </w:rPr>
        <w:t xml:space="preserve"> and without 250</w:t>
      </w:r>
      <w:r w:rsidRPr="00EA02AA">
        <w:rPr>
          <w:rFonts w:ascii="Times New Roman" w:eastAsiaTheme="minorHAnsi" w:hAnsi="Times New Roman" w:cs="Times New Roman"/>
          <w:sz w:val="22"/>
        </w:rPr>
        <w:t>μ</w:t>
      </w:r>
      <w:r w:rsidRPr="00EA02AA">
        <w:rPr>
          <w:rFonts w:ascii="Times New Roman" w:hAnsi="Times New Roman" w:cs="Times New Roman"/>
          <w:sz w:val="22"/>
        </w:rPr>
        <w:t>M copper ions</w:t>
      </w:r>
    </w:p>
    <w:p w14:paraId="335231F8" w14:textId="7353BA9A" w:rsidR="00EA02AA" w:rsidRDefault="00EA02AA" w:rsidP="00EA02AA">
      <w:pPr>
        <w:spacing w:line="300" w:lineRule="auto"/>
        <w:ind w:firstLine="420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bottomFromText="200" w:vertAnchor="text" w:horzAnchor="page" w:tblpX="1913" w:tblpY="28"/>
        <w:tblOverlap w:val="never"/>
        <w:tblW w:w="76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099"/>
        <w:gridCol w:w="1835"/>
        <w:gridCol w:w="2068"/>
      </w:tblGrid>
      <w:tr w:rsidR="00EA02AA" w14:paraId="12C2C56D" w14:textId="77777777" w:rsidTr="000F6BD8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8316" w14:textId="77777777" w:rsidR="00EA02AA" w:rsidRPr="009835C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1C260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GO term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ABF7C" w14:textId="77777777" w:rsidR="00EA02AA" w:rsidRDefault="00EA02AA" w:rsidP="000F6BD8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No. of up gene</w:t>
            </w:r>
          </w:p>
          <w:p w14:paraId="28B0AD06" w14:textId="37F3A432" w:rsidR="00EA02AA" w:rsidRDefault="00EA02AA" w:rsidP="000F6BD8">
            <w:pPr>
              <w:widowControl/>
              <w:spacing w:line="180" w:lineRule="auto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</w:t>
            </w:r>
            <w:proofErr w:type="gram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-vp</w:t>
            </w:r>
            <w:proofErr w:type="spell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500 vs </w:t>
            </w:r>
            <w:proofErr w:type="spell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sm-vp</w:t>
            </w:r>
            <w:proofErr w:type="spell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250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A82C5" w14:textId="77777777" w:rsidR="00EA02AA" w:rsidRDefault="00EA02AA" w:rsidP="000F6BD8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No. of down gene</w:t>
            </w:r>
          </w:p>
          <w:p w14:paraId="6BA77866" w14:textId="18EED680" w:rsidR="00EA02AA" w:rsidRDefault="00EA02AA" w:rsidP="000F6BD8">
            <w:pPr>
              <w:widowControl/>
              <w:spacing w:line="18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</w:t>
            </w:r>
            <w:proofErr w:type="gram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-vp</w:t>
            </w:r>
            <w:proofErr w:type="spell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500 vs </w:t>
            </w:r>
            <w:proofErr w:type="spellStart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sm-vp</w:t>
            </w:r>
            <w:proofErr w:type="spellEnd"/>
            <w:r w:rsidR="00E11EBB" w:rsidRPr="00E11EBB"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250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A02AA" w14:paraId="28F94B0D" w14:textId="77777777" w:rsidTr="000F6BD8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C92BB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Biological process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5E940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biological regulation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0381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D6219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A02AA" w14:paraId="6D1E68E1" w14:textId="77777777" w:rsidTr="000F6BD8">
        <w:trPr>
          <w:trHeight w:val="65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0EFD6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DD4D6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cellular component organization or biogenesis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AE563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F0A64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A02AA" w14:paraId="3026184E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75A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1441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E02D1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EEB50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A02AA" w14:paraId="148D23B1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F43A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4076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establishment of localization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E0105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9F29B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A02AA" w14:paraId="027C1651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E8B0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161EF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localization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6D7E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69198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A02AA" w14:paraId="3BF1D3D0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C757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C4200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CAD79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7F2F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A02AA" w14:paraId="5B1F943A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AEB9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6D916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multi-organism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2C75C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6C7E7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A02AA" w14:paraId="0E984D95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4E75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CD317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B0B7A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3ED03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A02AA" w14:paraId="173E40C1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F72B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ADC48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1575A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DD14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A02AA" w14:paraId="37A840BC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6E296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705B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6210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F19AA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EA02AA" w14:paraId="0D901C6D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4C0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942C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immune system process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22B8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B24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0F227554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3D03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49DDE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signaling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91834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25277" w14:textId="77777777" w:rsidR="00EA02AA" w:rsidRPr="00807F39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07F3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69723158" w14:textId="77777777" w:rsidTr="000F6BD8">
        <w:trPr>
          <w:trHeight w:val="41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BBFA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Cellular component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53779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DFED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553F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EA02AA" w14:paraId="635E86C8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F347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0E3B9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cell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D36DB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E32C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EA02AA" w14:paraId="2F7E6490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90FB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7BD5C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macromolecular complex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83389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DE2B1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A02AA" w14:paraId="61166187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AE00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3FDA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membrane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5FC34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93440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A02AA" w14:paraId="447CC182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4F8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100C7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membrane-enclosed lumen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7DEB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7AEE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A02AA" w14:paraId="2FEBA7FF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74EB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19F0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membrane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1D95E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CAD94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EA02AA" w14:paraId="76C4C5D9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8BDA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1E0AE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organelle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541A8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4D10E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EA02AA" w14:paraId="50036645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705C6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56528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organelle part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67C7C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2696D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A02AA" w14:paraId="05A5946E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3F95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Molecular function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EFACA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binding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7F20B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D87F5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EA02AA" w14:paraId="7B63FC3C" w14:textId="77777777" w:rsidTr="000F6BD8">
        <w:trPr>
          <w:trHeight w:val="23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BEBF2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76E4A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catalytic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F02BF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92882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A02AA" w14:paraId="31CFFA65" w14:textId="77777777" w:rsidTr="000F6BD8">
        <w:trPr>
          <w:trHeight w:val="44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711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09EAE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structural molecule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4730C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E542D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A02AA" w14:paraId="1C316EA4" w14:textId="77777777" w:rsidTr="000F6BD8">
        <w:trPr>
          <w:trHeight w:val="65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C970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D91DF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transporter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1FD18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73677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A02AA" w14:paraId="596B741F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4359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A88E5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enzyme regulator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291AE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BADE7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1E0C63D1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2B72F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4B76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molecular transducer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DA8F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B173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730777DA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E1700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3F2E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nucleic acid binding transcription factor activity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9BE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D999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A02AA" w14:paraId="2A5F9616" w14:textId="77777777" w:rsidTr="000F6BD8">
        <w:trPr>
          <w:trHeight w:val="454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EC06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44A90" w14:textId="77777777" w:rsidR="00EA02AA" w:rsidRPr="00C6700B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protein binding transcription factor activity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72D8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A96D" w14:textId="77777777" w:rsidR="00EA02AA" w:rsidRDefault="00EA02AA" w:rsidP="000F6B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6700B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14:paraId="300D9B84" w14:textId="49F51FF8" w:rsidR="00EA02AA" w:rsidRPr="006C3752" w:rsidRDefault="00EA02AA" w:rsidP="00EA02AA">
      <w:pPr>
        <w:spacing w:line="300" w:lineRule="auto"/>
        <w:ind w:firstLine="4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02AA">
        <w:rPr>
          <w:rFonts w:ascii="Times New Roman" w:hAnsi="Times New Roman" w:cs="Times New Roman"/>
          <w:i/>
          <w:iCs/>
          <w:sz w:val="22"/>
        </w:rPr>
        <w:t>Supplemental Table</w:t>
      </w:r>
      <w:r w:rsidR="003761C0">
        <w:rPr>
          <w:rFonts w:ascii="Times New Roman" w:hAnsi="Times New Roman" w:cs="Times New Roman"/>
          <w:i/>
          <w:iCs/>
          <w:sz w:val="22"/>
        </w:rPr>
        <w:t>4</w:t>
      </w:r>
      <w:r w:rsidRPr="00EA02AA">
        <w:rPr>
          <w:rFonts w:ascii="Times New Roman" w:hAnsi="Times New Roman" w:cs="Times New Roman"/>
          <w:i/>
          <w:iCs/>
          <w:sz w:val="22"/>
        </w:rPr>
        <w:t xml:space="preserve">. </w:t>
      </w:r>
      <w:r w:rsidRPr="00EA02AA">
        <w:rPr>
          <w:rFonts w:ascii="Times New Roman" w:hAnsi="Times New Roman" w:cs="Times New Roman"/>
          <w:sz w:val="22"/>
        </w:rPr>
        <w:t xml:space="preserve">The gene expression difference of </w:t>
      </w:r>
      <w:r w:rsidRPr="00EA02AA">
        <w:rPr>
          <w:rFonts w:ascii="Times New Roman" w:hAnsi="Times New Roman" w:cs="Times New Roman"/>
          <w:i/>
          <w:sz w:val="22"/>
        </w:rPr>
        <w:t xml:space="preserve">S. mutans-V. </w:t>
      </w:r>
      <w:proofErr w:type="spellStart"/>
      <w:r w:rsidRPr="00EA02AA">
        <w:rPr>
          <w:rFonts w:ascii="Times New Roman" w:hAnsi="Times New Roman" w:cs="Times New Roman"/>
          <w:i/>
          <w:sz w:val="22"/>
        </w:rPr>
        <w:t>parvula</w:t>
      </w:r>
      <w:proofErr w:type="spellEnd"/>
      <w:r w:rsidRPr="00EA02AA">
        <w:rPr>
          <w:rFonts w:ascii="Times New Roman" w:hAnsi="Times New Roman" w:cs="Times New Roman"/>
          <w:i/>
          <w:sz w:val="22"/>
        </w:rPr>
        <w:t xml:space="preserve"> </w:t>
      </w:r>
      <w:r w:rsidRPr="00EA02AA">
        <w:rPr>
          <w:rFonts w:ascii="Times New Roman" w:hAnsi="Times New Roman" w:cs="Times New Roman"/>
          <w:sz w:val="22"/>
        </w:rPr>
        <w:t xml:space="preserve">dual biofilm </w:t>
      </w:r>
      <w:r w:rsidRPr="00EA02AA">
        <w:rPr>
          <w:rFonts w:ascii="Times New Roman" w:hAnsi="Times New Roman" w:cs="Times New Roman" w:hint="eastAsia"/>
          <w:sz w:val="22"/>
        </w:rPr>
        <w:t>with</w:t>
      </w:r>
      <w:r w:rsidRPr="00EA02AA">
        <w:rPr>
          <w:rFonts w:ascii="Times New Roman" w:hAnsi="Times New Roman" w:cs="Times New Roman"/>
          <w:sz w:val="22"/>
        </w:rPr>
        <w:t xml:space="preserve"> 250</w:t>
      </w:r>
      <w:r w:rsidRPr="00EA02AA">
        <w:rPr>
          <w:rFonts w:ascii="Times New Roman" w:eastAsiaTheme="minorHAnsi" w:hAnsi="Times New Roman" w:cs="Times New Roman"/>
          <w:sz w:val="22"/>
        </w:rPr>
        <w:t>μ</w:t>
      </w:r>
      <w:r w:rsidRPr="00EA02AA">
        <w:rPr>
          <w:rFonts w:ascii="Times New Roman" w:hAnsi="Times New Roman" w:cs="Times New Roman"/>
          <w:sz w:val="22"/>
        </w:rPr>
        <w:t>M copper ions and 500</w:t>
      </w:r>
      <w:r w:rsidRPr="00EA02AA">
        <w:rPr>
          <w:rFonts w:ascii="Times New Roman" w:eastAsiaTheme="minorHAnsi" w:hAnsi="Times New Roman" w:cs="Times New Roman"/>
          <w:sz w:val="22"/>
        </w:rPr>
        <w:t>μ</w:t>
      </w:r>
      <w:r w:rsidRPr="00EA02AA">
        <w:rPr>
          <w:rFonts w:ascii="Times New Roman" w:hAnsi="Times New Roman" w:cs="Times New Roman"/>
          <w:sz w:val="22"/>
        </w:rPr>
        <w:t>M copper ions</w:t>
      </w:r>
    </w:p>
    <w:p w14:paraId="6E2A9908" w14:textId="77777777" w:rsidR="00EA02AA" w:rsidRPr="00EA02AA" w:rsidRDefault="00EA02AA" w:rsidP="00EA02AA">
      <w:pPr>
        <w:spacing w:line="300" w:lineRule="auto"/>
        <w:ind w:firstLine="420"/>
        <w:jc w:val="center"/>
        <w:rPr>
          <w:rFonts w:ascii="Times New Roman" w:hAnsi="Times New Roman" w:cs="Times New Roman"/>
          <w:sz w:val="22"/>
          <w:highlight w:val="yellow"/>
        </w:rPr>
      </w:pPr>
    </w:p>
    <w:p w14:paraId="4FD4A2E4" w14:textId="77777777" w:rsidR="00EA02AA" w:rsidRPr="003761C0" w:rsidRDefault="00EA02AA" w:rsidP="00EA02AA">
      <w:pPr>
        <w:spacing w:line="300" w:lineRule="auto"/>
        <w:jc w:val="center"/>
        <w:rPr>
          <w:rFonts w:ascii="Times New Roman" w:hAnsi="Times New Roman" w:cs="Times New Roman"/>
          <w:szCs w:val="21"/>
          <w:highlight w:val="yellow"/>
        </w:rPr>
      </w:pPr>
    </w:p>
    <w:p w14:paraId="6251D3EB" w14:textId="77777777" w:rsidR="00EA02AA" w:rsidRPr="006666A6" w:rsidRDefault="00EA02AA"/>
    <w:sectPr w:rsidR="00EA02AA" w:rsidRPr="00666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0870" w14:textId="77777777" w:rsidR="00E5272A" w:rsidRDefault="00E5272A" w:rsidP="006666A6">
      <w:r>
        <w:separator/>
      </w:r>
    </w:p>
  </w:endnote>
  <w:endnote w:type="continuationSeparator" w:id="0">
    <w:p w14:paraId="42457222" w14:textId="77777777" w:rsidR="00E5272A" w:rsidRDefault="00E5272A" w:rsidP="006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FB8F" w14:textId="77777777" w:rsidR="00E5272A" w:rsidRDefault="00E5272A" w:rsidP="006666A6">
      <w:r>
        <w:separator/>
      </w:r>
    </w:p>
  </w:footnote>
  <w:footnote w:type="continuationSeparator" w:id="0">
    <w:p w14:paraId="6148ECB8" w14:textId="77777777" w:rsidR="00E5272A" w:rsidRDefault="00E5272A" w:rsidP="0066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2E"/>
    <w:rsid w:val="00095C90"/>
    <w:rsid w:val="00157A7B"/>
    <w:rsid w:val="003761C0"/>
    <w:rsid w:val="00383721"/>
    <w:rsid w:val="003F7241"/>
    <w:rsid w:val="00462E63"/>
    <w:rsid w:val="004F1B82"/>
    <w:rsid w:val="0050589F"/>
    <w:rsid w:val="006666A6"/>
    <w:rsid w:val="00A2112E"/>
    <w:rsid w:val="00E11EBB"/>
    <w:rsid w:val="00E5272A"/>
    <w:rsid w:val="00E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E1BF9"/>
  <w15:chartTrackingRefBased/>
  <w15:docId w15:val="{E87DFF17-004A-4B2A-BEEA-3C04E9E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赟 总</dc:creator>
  <cp:keywords/>
  <dc:description/>
  <cp:lastModifiedBy>赟 总</cp:lastModifiedBy>
  <cp:revision>7</cp:revision>
  <dcterms:created xsi:type="dcterms:W3CDTF">2022-08-05T01:03:00Z</dcterms:created>
  <dcterms:modified xsi:type="dcterms:W3CDTF">2023-01-01T11:17:00Z</dcterms:modified>
</cp:coreProperties>
</file>