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D2" w:rsidRDefault="00035AD2"/>
    <w:p w:rsidR="00634F11" w:rsidRDefault="00634F11" w:rsidP="00634F11">
      <w:pPr>
        <w:rPr>
          <w:rFonts w:cs="Times New Roman"/>
          <w:bCs/>
          <w:lang w:val="en-US"/>
        </w:rPr>
      </w:pPr>
      <w:proofErr w:type="gramStart"/>
      <w:r>
        <w:rPr>
          <w:b/>
          <w:bCs/>
          <w:lang w:val="en-US"/>
        </w:rPr>
        <w:t>A</w:t>
      </w:r>
      <w:r>
        <w:rPr>
          <w:b/>
          <w:bCs/>
          <w:lang w:val="en-US"/>
        </w:rPr>
        <w:t xml:space="preserve">dditional file </w:t>
      </w:r>
      <w:r>
        <w:rPr>
          <w:b/>
          <w:bCs/>
          <w:lang w:val="en-US"/>
        </w:rPr>
        <w:t>2.</w:t>
      </w:r>
      <w:proofErr w:type="gramEnd"/>
      <w:r>
        <w:rPr>
          <w:b/>
          <w:bCs/>
          <w:lang w:val="en-US"/>
        </w:rPr>
        <w:t xml:space="preserve"> </w:t>
      </w:r>
      <w:proofErr w:type="gramStart"/>
      <w:r>
        <w:rPr>
          <w:rFonts w:cs="Times New Roman"/>
          <w:bCs/>
          <w:lang w:val="en-US"/>
        </w:rPr>
        <w:t>E</w:t>
      </w:r>
      <w:r w:rsidRPr="00D62B8D">
        <w:rPr>
          <w:rFonts w:cs="Times New Roman"/>
          <w:bCs/>
          <w:lang w:val="en-US"/>
        </w:rPr>
        <w:t>xcluded full-text articles (with reason for exclusion)</w:t>
      </w:r>
      <w:r>
        <w:rPr>
          <w:rFonts w:cs="Times New Roman"/>
          <w:bCs/>
          <w:lang w:val="en-US"/>
        </w:rPr>
        <w:t>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  <w:gridCol w:w="6925"/>
      </w:tblGrid>
      <w:tr w:rsidR="00634F11" w:rsidTr="00D10BB6">
        <w:trPr>
          <w:trHeight w:val="211"/>
        </w:trPr>
        <w:tc>
          <w:tcPr>
            <w:tcW w:w="1384" w:type="pct"/>
            <w:shd w:val="clear" w:color="auto" w:fill="F2F2F2"/>
          </w:tcPr>
          <w:p w:rsidR="00634F11" w:rsidRDefault="00634F11" w:rsidP="00D10BB6">
            <w:pPr>
              <w:spacing w:line="480" w:lineRule="auto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  <w:p w:rsidR="00634F11" w:rsidRDefault="00634F11" w:rsidP="00D10BB6">
            <w:pPr>
              <w:spacing w:line="480" w:lineRule="auto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Reason for exclusion</w:t>
            </w:r>
          </w:p>
        </w:tc>
        <w:tc>
          <w:tcPr>
            <w:tcW w:w="3616" w:type="pct"/>
            <w:shd w:val="clear" w:color="auto" w:fill="F2F2F2"/>
          </w:tcPr>
          <w:p w:rsidR="00634F11" w:rsidRDefault="00634F11" w:rsidP="00D10BB6">
            <w:pPr>
              <w:spacing w:line="480" w:lineRule="auto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Author (year)</w:t>
            </w:r>
          </w:p>
        </w:tc>
      </w:tr>
      <w:tr w:rsidR="00634F11" w:rsidRPr="00EF3902" w:rsidTr="00D10BB6">
        <w:trPr>
          <w:trHeight w:val="211"/>
        </w:trPr>
        <w:tc>
          <w:tcPr>
            <w:tcW w:w="1384" w:type="pct"/>
            <w:shd w:val="clear" w:color="auto" w:fill="FFFFFF" w:themeFill="background1"/>
          </w:tcPr>
          <w:p w:rsidR="00634F11" w:rsidRPr="00470126" w:rsidRDefault="00634F11" w:rsidP="00D10BB6">
            <w:pPr>
              <w:spacing w:line="480" w:lineRule="auto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Not RCTs</w:t>
            </w:r>
          </w:p>
        </w:tc>
        <w:tc>
          <w:tcPr>
            <w:tcW w:w="3616" w:type="pct"/>
            <w:shd w:val="clear" w:color="auto" w:fill="FFFFFF" w:themeFill="background1"/>
          </w:tcPr>
          <w:p w:rsidR="00634F11" w:rsidRPr="009E3664" w:rsidRDefault="00634F11" w:rsidP="00D10BB6">
            <w:pPr>
              <w:spacing w:line="480" w:lineRule="auto"/>
              <w:rPr>
                <w:rFonts w:ascii="Calibri" w:hAnsi="Calibri" w:cs="Times New Roman"/>
                <w:sz w:val="18"/>
                <w:szCs w:val="18"/>
              </w:rPr>
            </w:pPr>
            <w:r w:rsidRPr="009E3664">
              <w:rPr>
                <w:rFonts w:ascii="Calibri" w:hAnsi="Calibri" w:cs="Times New Roman"/>
                <w:sz w:val="18"/>
                <w:szCs w:val="18"/>
              </w:rPr>
              <w:t>Al Amri et al. 2020, Heo et al. 2018, Lerario et al. 2016, Mettraux et al. 2016, Mombelli et al. 2001, Salvi et al. 2007, Schwarz et al. 2006, Levin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et al.</w:t>
            </w:r>
            <w:r w:rsidRPr="009E3664">
              <w:rPr>
                <w:rFonts w:ascii="Calibri" w:hAnsi="Calibri" w:cs="Times New Roman"/>
                <w:sz w:val="18"/>
                <w:szCs w:val="18"/>
              </w:rPr>
              <w:t xml:space="preserve"> 2015</w:t>
            </w:r>
          </w:p>
        </w:tc>
      </w:tr>
      <w:tr w:rsidR="00634F11" w:rsidRPr="00EF3902" w:rsidTr="00D10BB6">
        <w:trPr>
          <w:trHeight w:val="211"/>
        </w:trPr>
        <w:tc>
          <w:tcPr>
            <w:tcW w:w="1384" w:type="pct"/>
            <w:shd w:val="clear" w:color="auto" w:fill="F2F2F2" w:themeFill="background1" w:themeFillShade="F2"/>
          </w:tcPr>
          <w:p w:rsidR="00634F11" w:rsidRPr="00470126" w:rsidRDefault="00634F11" w:rsidP="00D10BB6">
            <w:pPr>
              <w:spacing w:line="480" w:lineRule="auto"/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 xml:space="preserve">Study on </w:t>
            </w:r>
            <w:proofErr w:type="spellStart"/>
            <w:r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>peri</w:t>
            </w:r>
            <w:proofErr w:type="spellEnd"/>
            <w:r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 xml:space="preserve">-implant mucositis/Unclear definition of </w:t>
            </w:r>
            <w:proofErr w:type="spellStart"/>
            <w:r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>peri-implantitis</w:t>
            </w:r>
            <w:proofErr w:type="spellEnd"/>
          </w:p>
        </w:tc>
        <w:tc>
          <w:tcPr>
            <w:tcW w:w="3616" w:type="pct"/>
            <w:shd w:val="clear" w:color="auto" w:fill="F2F2F2" w:themeFill="background1" w:themeFillShade="F2"/>
          </w:tcPr>
          <w:p w:rsidR="00634F11" w:rsidRPr="009E3664" w:rsidRDefault="00634F11" w:rsidP="00D10BB6">
            <w:pPr>
              <w:spacing w:line="480" w:lineRule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9E3664">
              <w:rPr>
                <w:rFonts w:ascii="Calibri" w:hAnsi="Calibri" w:cs="Times New Roman"/>
                <w:sz w:val="18"/>
                <w:szCs w:val="18"/>
              </w:rPr>
              <w:t>Abduljiabbar et al. 2017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9E3664">
              <w:rPr>
                <w:rFonts w:ascii="Calibri" w:hAnsi="Calibri" w:cs="Times New Roman"/>
                <w:sz w:val="18"/>
                <w:szCs w:val="18"/>
              </w:rPr>
              <w:t>Al Ghazal et al. 2017, Gomi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et al.</w:t>
            </w:r>
            <w:r w:rsidRPr="009E3664">
              <w:rPr>
                <w:rFonts w:ascii="Calibri" w:hAnsi="Calibri" w:cs="Times New Roman"/>
                <w:sz w:val="18"/>
                <w:szCs w:val="18"/>
              </w:rPr>
              <w:t xml:space="preserve"> 2015, Javed et al. 2016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9E3664">
              <w:rPr>
                <w:rFonts w:ascii="Calibri" w:hAnsi="Calibri" w:cs="Times New Roman"/>
                <w:sz w:val="18"/>
                <w:szCs w:val="18"/>
              </w:rPr>
              <w:t>Kashefimehr et al. 2017, McKenna et al. 2013</w:t>
            </w:r>
          </w:p>
        </w:tc>
      </w:tr>
      <w:tr w:rsidR="00634F11" w:rsidRPr="009D1A29" w:rsidTr="00D10BB6">
        <w:trPr>
          <w:trHeight w:val="211"/>
        </w:trPr>
        <w:tc>
          <w:tcPr>
            <w:tcW w:w="1384" w:type="pct"/>
            <w:shd w:val="clear" w:color="auto" w:fill="FFFFFF" w:themeFill="background1"/>
          </w:tcPr>
          <w:p w:rsidR="00634F11" w:rsidRPr="00F66720" w:rsidRDefault="00634F11" w:rsidP="00D10BB6">
            <w:pPr>
              <w:spacing w:line="480" w:lineRule="auto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Do not meet the inclusion criteria for PICO (interventions and comparisons)</w:t>
            </w:r>
          </w:p>
        </w:tc>
        <w:tc>
          <w:tcPr>
            <w:tcW w:w="3616" w:type="pct"/>
            <w:shd w:val="clear" w:color="auto" w:fill="FFFFFF" w:themeFill="background1"/>
          </w:tcPr>
          <w:p w:rsidR="00634F11" w:rsidRPr="009E3664" w:rsidRDefault="00634F11" w:rsidP="00D10BB6">
            <w:pPr>
              <w:spacing w:line="480" w:lineRule="auto"/>
              <w:rPr>
                <w:rFonts w:ascii="Calibri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>Bassetti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et al.</w:t>
            </w:r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2014, De Waal 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et al. </w:t>
            </w:r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2021, Esposito et al. 2013, </w:t>
            </w:r>
            <w:proofErr w:type="spellStart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>Hentenaar</w:t>
            </w:r>
            <w:proofErr w:type="spellEnd"/>
            <w:r w:rsidRPr="009E3664">
              <w:rPr>
                <w:rStyle w:val="CommentReference"/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>et al. 2021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, </w:t>
            </w:r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>John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et al.</w:t>
            </w:r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2015, </w:t>
            </w:r>
            <w:proofErr w:type="spellStart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>Karring</w:t>
            </w:r>
            <w:proofErr w:type="spellEnd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et al. 2005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,</w:t>
            </w:r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6323">
              <w:rPr>
                <w:rFonts w:ascii="Calibri" w:hAnsi="Calibri" w:cs="Times New Roman"/>
                <w:color w:val="000000"/>
                <w:sz w:val="18"/>
                <w:szCs w:val="18"/>
                <w:lang w:val="en-US"/>
              </w:rPr>
              <w:t>Mussano</w:t>
            </w:r>
            <w:proofErr w:type="spellEnd"/>
            <w:r w:rsidRPr="00086323">
              <w:rPr>
                <w:rFonts w:ascii="Calibri" w:hAnsi="Calibri" w:cs="Times New Roman"/>
                <w:color w:val="000000"/>
                <w:sz w:val="18"/>
                <w:szCs w:val="18"/>
                <w:lang w:val="en-US"/>
              </w:rPr>
              <w:t xml:space="preserve"> et al. 2013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>Odatsu</w:t>
            </w:r>
            <w:proofErr w:type="spellEnd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et al. 2020, </w:t>
            </w:r>
            <w:proofErr w:type="spellStart"/>
            <w:r w:rsidRPr="00086323">
              <w:rPr>
                <w:rFonts w:ascii="Calibri" w:hAnsi="Calibri" w:cs="Times New Roman"/>
                <w:sz w:val="18"/>
                <w:szCs w:val="18"/>
                <w:lang w:val="en-US"/>
              </w:rPr>
              <w:t>Persson</w:t>
            </w:r>
            <w:proofErr w:type="spellEnd"/>
            <w:r w:rsidRPr="00086323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et al. 2011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>Pranno</w:t>
            </w:r>
            <w:proofErr w:type="spellEnd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et al. 2021, </w:t>
            </w:r>
            <w:proofErr w:type="spellStart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>Renvert</w:t>
            </w:r>
            <w:proofErr w:type="spellEnd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et al.</w:t>
            </w:r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2006, </w:t>
            </w:r>
            <w:proofErr w:type="spellStart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>Renvert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et al.</w:t>
            </w:r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2008, </w:t>
            </w:r>
            <w:proofErr w:type="spellStart"/>
            <w:r w:rsidRPr="00086323">
              <w:rPr>
                <w:rFonts w:ascii="Calibri" w:hAnsi="Calibri" w:cs="Times New Roman"/>
                <w:sz w:val="18"/>
                <w:szCs w:val="18"/>
                <w:lang w:val="en-US"/>
              </w:rPr>
              <w:t>Renvert</w:t>
            </w:r>
            <w:proofErr w:type="spellEnd"/>
            <w:r w:rsidRPr="00086323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et al. 2009, </w:t>
            </w:r>
            <w:proofErr w:type="spellStart"/>
            <w:r w:rsidRPr="00086323">
              <w:rPr>
                <w:rFonts w:ascii="Calibri" w:hAnsi="Calibri" w:cs="Times New Roman"/>
                <w:sz w:val="18"/>
                <w:szCs w:val="18"/>
                <w:lang w:val="en-US"/>
              </w:rPr>
              <w:t>Renvert</w:t>
            </w:r>
            <w:proofErr w:type="spellEnd"/>
            <w:r w:rsidRPr="00086323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et al. 2011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>Sahm</w:t>
            </w:r>
            <w:proofErr w:type="spellEnd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et al 2011, </w:t>
            </w:r>
            <w:proofErr w:type="spellStart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>Schär</w:t>
            </w:r>
            <w:proofErr w:type="spellEnd"/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et al. 2013, Schwarz et al. 2005, Schwarz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et al.</w:t>
            </w:r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2006, Tada et al. 2018, Tian et al. 2019, </w:t>
            </w:r>
            <w:r w:rsidRPr="00086323">
              <w:rPr>
                <w:rFonts w:ascii="Calibri" w:hAnsi="Calibri" w:cs="Times New Roman"/>
                <w:sz w:val="18"/>
                <w:szCs w:val="18"/>
                <w:lang w:val="en-US"/>
              </w:rPr>
              <w:t>Wagner et al. 2021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, </w:t>
            </w:r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>Wang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et al.</w:t>
            </w:r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2019, Xu et al. 2016</w:t>
            </w:r>
          </w:p>
        </w:tc>
      </w:tr>
      <w:tr w:rsidR="00634F11" w:rsidRPr="00086323" w:rsidTr="00D10BB6">
        <w:trPr>
          <w:trHeight w:val="211"/>
        </w:trPr>
        <w:tc>
          <w:tcPr>
            <w:tcW w:w="1384" w:type="pct"/>
            <w:shd w:val="clear" w:color="auto" w:fill="F2F2F2" w:themeFill="background1" w:themeFillShade="F2"/>
          </w:tcPr>
          <w:p w:rsidR="00634F11" w:rsidRPr="00F66720" w:rsidRDefault="00634F11" w:rsidP="00D10BB6">
            <w:pPr>
              <w:spacing w:line="480" w:lineRule="auto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>All the included patients were affected by diabetes</w:t>
            </w:r>
          </w:p>
        </w:tc>
        <w:tc>
          <w:tcPr>
            <w:tcW w:w="3616" w:type="pct"/>
            <w:shd w:val="clear" w:color="auto" w:fill="F2F2F2" w:themeFill="background1" w:themeFillShade="F2"/>
          </w:tcPr>
          <w:p w:rsidR="00634F11" w:rsidRPr="00086323" w:rsidRDefault="00634F11" w:rsidP="00D10BB6">
            <w:pPr>
              <w:spacing w:line="480" w:lineRule="auto"/>
              <w:rPr>
                <w:rFonts w:ascii="Calibri" w:hAnsi="Calibri" w:cs="Times New Roman"/>
                <w:sz w:val="18"/>
                <w:szCs w:val="18"/>
              </w:rPr>
            </w:pPr>
            <w:r w:rsidRPr="009E3664">
              <w:rPr>
                <w:rFonts w:ascii="Calibri" w:hAnsi="Calibri" w:cs="Times New Roman"/>
                <w:sz w:val="18"/>
                <w:szCs w:val="18"/>
              </w:rPr>
              <w:t xml:space="preserve">Labban 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et al.</w:t>
            </w:r>
            <w:r w:rsidRPr="009E3664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</w:t>
            </w:r>
            <w:r w:rsidRPr="009E3664">
              <w:rPr>
                <w:rFonts w:ascii="Calibri" w:hAnsi="Calibri" w:cs="Times New Roman"/>
                <w:sz w:val="18"/>
                <w:szCs w:val="18"/>
              </w:rPr>
              <w:t>2021</w:t>
            </w:r>
          </w:p>
        </w:tc>
      </w:tr>
      <w:tr w:rsidR="00634F11" w:rsidTr="00D10BB6">
        <w:trPr>
          <w:trHeight w:val="101"/>
        </w:trPr>
        <w:tc>
          <w:tcPr>
            <w:tcW w:w="1384" w:type="pct"/>
            <w:shd w:val="clear" w:color="auto" w:fill="FFFFFF" w:themeFill="background1"/>
          </w:tcPr>
          <w:p w:rsidR="00634F11" w:rsidRDefault="00634F11" w:rsidP="00D10BB6">
            <w:pPr>
              <w:spacing w:line="48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Short Follow-up</w:t>
            </w:r>
          </w:p>
        </w:tc>
        <w:tc>
          <w:tcPr>
            <w:tcW w:w="3616" w:type="pct"/>
            <w:shd w:val="clear" w:color="auto" w:fill="FFFFFF" w:themeFill="background1"/>
          </w:tcPr>
          <w:p w:rsidR="00634F11" w:rsidRPr="009E3664" w:rsidRDefault="00634F11" w:rsidP="00D10BB6">
            <w:pPr>
              <w:spacing w:line="480" w:lineRule="auto"/>
              <w:rPr>
                <w:rFonts w:ascii="Calibri" w:hAnsi="Calibri" w:cs="Times New Roman"/>
                <w:sz w:val="18"/>
                <w:szCs w:val="18"/>
              </w:rPr>
            </w:pPr>
            <w:r w:rsidRPr="009E3664">
              <w:rPr>
                <w:rFonts w:ascii="Calibri" w:hAnsi="Calibri" w:cs="Times New Roman"/>
                <w:sz w:val="18"/>
                <w:szCs w:val="18"/>
              </w:rPr>
              <w:t>Wei et al. 2020</w:t>
            </w:r>
          </w:p>
        </w:tc>
      </w:tr>
    </w:tbl>
    <w:p w:rsidR="00634F11" w:rsidRDefault="00634F11">
      <w:bookmarkStart w:id="0" w:name="_GoBack"/>
      <w:bookmarkEnd w:id="0"/>
    </w:p>
    <w:sectPr w:rsidR="0063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11"/>
    <w:rsid w:val="00002278"/>
    <w:rsid w:val="00014918"/>
    <w:rsid w:val="000156C2"/>
    <w:rsid w:val="00032F84"/>
    <w:rsid w:val="00035AD2"/>
    <w:rsid w:val="000362C0"/>
    <w:rsid w:val="0004260D"/>
    <w:rsid w:val="000443A0"/>
    <w:rsid w:val="00066918"/>
    <w:rsid w:val="00076520"/>
    <w:rsid w:val="0008214A"/>
    <w:rsid w:val="00086FC3"/>
    <w:rsid w:val="000B0741"/>
    <w:rsid w:val="000B0B2E"/>
    <w:rsid w:val="000C2DE5"/>
    <w:rsid w:val="000D12EE"/>
    <w:rsid w:val="000D3C06"/>
    <w:rsid w:val="000D6FDC"/>
    <w:rsid w:val="000D7163"/>
    <w:rsid w:val="000E1D66"/>
    <w:rsid w:val="000F0063"/>
    <w:rsid w:val="000F31CC"/>
    <w:rsid w:val="0011429A"/>
    <w:rsid w:val="00115748"/>
    <w:rsid w:val="00121BB6"/>
    <w:rsid w:val="00123B64"/>
    <w:rsid w:val="00124C1B"/>
    <w:rsid w:val="001276A7"/>
    <w:rsid w:val="00142392"/>
    <w:rsid w:val="001432B7"/>
    <w:rsid w:val="0014437F"/>
    <w:rsid w:val="00166A9C"/>
    <w:rsid w:val="00195494"/>
    <w:rsid w:val="00196390"/>
    <w:rsid w:val="00197373"/>
    <w:rsid w:val="001B6827"/>
    <w:rsid w:val="001C2829"/>
    <w:rsid w:val="001D0F37"/>
    <w:rsid w:val="001F2BA3"/>
    <w:rsid w:val="001F40DF"/>
    <w:rsid w:val="002068B3"/>
    <w:rsid w:val="00217821"/>
    <w:rsid w:val="002234E1"/>
    <w:rsid w:val="00235383"/>
    <w:rsid w:val="00236B67"/>
    <w:rsid w:val="002500B2"/>
    <w:rsid w:val="002616CC"/>
    <w:rsid w:val="002667AE"/>
    <w:rsid w:val="002667B1"/>
    <w:rsid w:val="00272C53"/>
    <w:rsid w:val="00292687"/>
    <w:rsid w:val="00295941"/>
    <w:rsid w:val="002A05B4"/>
    <w:rsid w:val="002A2D9D"/>
    <w:rsid w:val="002A6CC6"/>
    <w:rsid w:val="002B03BA"/>
    <w:rsid w:val="002B0F21"/>
    <w:rsid w:val="002C1415"/>
    <w:rsid w:val="002D3BC3"/>
    <w:rsid w:val="002E3298"/>
    <w:rsid w:val="00335CF5"/>
    <w:rsid w:val="00343574"/>
    <w:rsid w:val="00344822"/>
    <w:rsid w:val="003509AD"/>
    <w:rsid w:val="0036152D"/>
    <w:rsid w:val="00364D2C"/>
    <w:rsid w:val="003720A8"/>
    <w:rsid w:val="00380FC5"/>
    <w:rsid w:val="00386F93"/>
    <w:rsid w:val="00393179"/>
    <w:rsid w:val="003F13B3"/>
    <w:rsid w:val="003F2DF9"/>
    <w:rsid w:val="004019AE"/>
    <w:rsid w:val="004201DD"/>
    <w:rsid w:val="00431663"/>
    <w:rsid w:val="004462ED"/>
    <w:rsid w:val="004546EC"/>
    <w:rsid w:val="004618C7"/>
    <w:rsid w:val="00463894"/>
    <w:rsid w:val="00467929"/>
    <w:rsid w:val="00470519"/>
    <w:rsid w:val="00474CBC"/>
    <w:rsid w:val="00476ADE"/>
    <w:rsid w:val="004834C6"/>
    <w:rsid w:val="004A0AAE"/>
    <w:rsid w:val="004A772A"/>
    <w:rsid w:val="004D0931"/>
    <w:rsid w:val="004D2603"/>
    <w:rsid w:val="00503A61"/>
    <w:rsid w:val="005206A9"/>
    <w:rsid w:val="00576909"/>
    <w:rsid w:val="00592325"/>
    <w:rsid w:val="005A1A22"/>
    <w:rsid w:val="005A1ADC"/>
    <w:rsid w:val="005A2172"/>
    <w:rsid w:val="005A6C1A"/>
    <w:rsid w:val="005B15EF"/>
    <w:rsid w:val="005C4412"/>
    <w:rsid w:val="005C5A13"/>
    <w:rsid w:val="005D5C51"/>
    <w:rsid w:val="005E74F7"/>
    <w:rsid w:val="005F15D3"/>
    <w:rsid w:val="005F28B7"/>
    <w:rsid w:val="0060456B"/>
    <w:rsid w:val="00604EB5"/>
    <w:rsid w:val="00634F11"/>
    <w:rsid w:val="00641424"/>
    <w:rsid w:val="006446B3"/>
    <w:rsid w:val="0064634F"/>
    <w:rsid w:val="0064763F"/>
    <w:rsid w:val="00666198"/>
    <w:rsid w:val="00683B6C"/>
    <w:rsid w:val="006A5832"/>
    <w:rsid w:val="006A7A62"/>
    <w:rsid w:val="006B5D7F"/>
    <w:rsid w:val="006C0084"/>
    <w:rsid w:val="006C46B0"/>
    <w:rsid w:val="006C488C"/>
    <w:rsid w:val="006C4B61"/>
    <w:rsid w:val="006D3031"/>
    <w:rsid w:val="006D44D6"/>
    <w:rsid w:val="006D4FA9"/>
    <w:rsid w:val="006E11B8"/>
    <w:rsid w:val="006E510C"/>
    <w:rsid w:val="006E5B2D"/>
    <w:rsid w:val="00712534"/>
    <w:rsid w:val="007365CE"/>
    <w:rsid w:val="007366E2"/>
    <w:rsid w:val="0074132E"/>
    <w:rsid w:val="00742D8F"/>
    <w:rsid w:val="00751880"/>
    <w:rsid w:val="00762D19"/>
    <w:rsid w:val="0076594C"/>
    <w:rsid w:val="007742E6"/>
    <w:rsid w:val="00774723"/>
    <w:rsid w:val="00774CCE"/>
    <w:rsid w:val="00782192"/>
    <w:rsid w:val="007B1F4C"/>
    <w:rsid w:val="007B3E1F"/>
    <w:rsid w:val="007E0FA8"/>
    <w:rsid w:val="007F02AC"/>
    <w:rsid w:val="007F5EB7"/>
    <w:rsid w:val="00800E91"/>
    <w:rsid w:val="0080106B"/>
    <w:rsid w:val="00802E95"/>
    <w:rsid w:val="00832938"/>
    <w:rsid w:val="00852017"/>
    <w:rsid w:val="00853A9E"/>
    <w:rsid w:val="00856EB7"/>
    <w:rsid w:val="00857349"/>
    <w:rsid w:val="008609A3"/>
    <w:rsid w:val="00863AEF"/>
    <w:rsid w:val="008710D9"/>
    <w:rsid w:val="00876B5E"/>
    <w:rsid w:val="00882605"/>
    <w:rsid w:val="00885E1A"/>
    <w:rsid w:val="00891BD4"/>
    <w:rsid w:val="008A4EA1"/>
    <w:rsid w:val="008A780D"/>
    <w:rsid w:val="008D18C8"/>
    <w:rsid w:val="008D50BE"/>
    <w:rsid w:val="008E22F9"/>
    <w:rsid w:val="008E44B8"/>
    <w:rsid w:val="008E54D1"/>
    <w:rsid w:val="008E6997"/>
    <w:rsid w:val="008F25F4"/>
    <w:rsid w:val="008F536A"/>
    <w:rsid w:val="008F74A4"/>
    <w:rsid w:val="00915BC3"/>
    <w:rsid w:val="009179B7"/>
    <w:rsid w:val="009225DF"/>
    <w:rsid w:val="00933033"/>
    <w:rsid w:val="00936619"/>
    <w:rsid w:val="009446C4"/>
    <w:rsid w:val="00991441"/>
    <w:rsid w:val="009918B7"/>
    <w:rsid w:val="00994849"/>
    <w:rsid w:val="009A785D"/>
    <w:rsid w:val="009B1D8D"/>
    <w:rsid w:val="009C4559"/>
    <w:rsid w:val="009D5471"/>
    <w:rsid w:val="009D6EF8"/>
    <w:rsid w:val="009E3DA5"/>
    <w:rsid w:val="00A017C8"/>
    <w:rsid w:val="00A02D0D"/>
    <w:rsid w:val="00A06171"/>
    <w:rsid w:val="00A16E92"/>
    <w:rsid w:val="00A218A7"/>
    <w:rsid w:val="00A32721"/>
    <w:rsid w:val="00A37A5F"/>
    <w:rsid w:val="00A415FE"/>
    <w:rsid w:val="00A45338"/>
    <w:rsid w:val="00A458B6"/>
    <w:rsid w:val="00A54B9A"/>
    <w:rsid w:val="00A70EE2"/>
    <w:rsid w:val="00A84F33"/>
    <w:rsid w:val="00AA3695"/>
    <w:rsid w:val="00AB5731"/>
    <w:rsid w:val="00AD2A5B"/>
    <w:rsid w:val="00AD61F7"/>
    <w:rsid w:val="00AD7DB6"/>
    <w:rsid w:val="00B01BB8"/>
    <w:rsid w:val="00B208E4"/>
    <w:rsid w:val="00B30AF5"/>
    <w:rsid w:val="00B45E91"/>
    <w:rsid w:val="00B532D7"/>
    <w:rsid w:val="00B6792A"/>
    <w:rsid w:val="00B7144C"/>
    <w:rsid w:val="00B8285B"/>
    <w:rsid w:val="00BC3BA7"/>
    <w:rsid w:val="00BC55B0"/>
    <w:rsid w:val="00BD2391"/>
    <w:rsid w:val="00BD6A81"/>
    <w:rsid w:val="00BE00FC"/>
    <w:rsid w:val="00BE18A4"/>
    <w:rsid w:val="00C01239"/>
    <w:rsid w:val="00C15661"/>
    <w:rsid w:val="00C24A02"/>
    <w:rsid w:val="00C34A72"/>
    <w:rsid w:val="00C443A5"/>
    <w:rsid w:val="00C50A36"/>
    <w:rsid w:val="00C51815"/>
    <w:rsid w:val="00C52BFF"/>
    <w:rsid w:val="00C559EF"/>
    <w:rsid w:val="00C55EDE"/>
    <w:rsid w:val="00C61758"/>
    <w:rsid w:val="00C6350F"/>
    <w:rsid w:val="00C63C0F"/>
    <w:rsid w:val="00C64AB3"/>
    <w:rsid w:val="00C80576"/>
    <w:rsid w:val="00C845C6"/>
    <w:rsid w:val="00C86BC8"/>
    <w:rsid w:val="00C97F62"/>
    <w:rsid w:val="00CB16B1"/>
    <w:rsid w:val="00CB351B"/>
    <w:rsid w:val="00CD61F6"/>
    <w:rsid w:val="00CE3C2E"/>
    <w:rsid w:val="00D26D98"/>
    <w:rsid w:val="00D300EF"/>
    <w:rsid w:val="00D43F2E"/>
    <w:rsid w:val="00D45085"/>
    <w:rsid w:val="00D505B6"/>
    <w:rsid w:val="00D56966"/>
    <w:rsid w:val="00D63B5E"/>
    <w:rsid w:val="00D72D2D"/>
    <w:rsid w:val="00DA3ABA"/>
    <w:rsid w:val="00DB0F13"/>
    <w:rsid w:val="00DB3EC3"/>
    <w:rsid w:val="00DB40F8"/>
    <w:rsid w:val="00DB6B29"/>
    <w:rsid w:val="00DD1977"/>
    <w:rsid w:val="00DE28D7"/>
    <w:rsid w:val="00DE797F"/>
    <w:rsid w:val="00E039A2"/>
    <w:rsid w:val="00E049F1"/>
    <w:rsid w:val="00E05644"/>
    <w:rsid w:val="00E0630D"/>
    <w:rsid w:val="00E278CF"/>
    <w:rsid w:val="00E40AE3"/>
    <w:rsid w:val="00E63747"/>
    <w:rsid w:val="00E90EAA"/>
    <w:rsid w:val="00E92047"/>
    <w:rsid w:val="00EA19CC"/>
    <w:rsid w:val="00EA631D"/>
    <w:rsid w:val="00ED08B3"/>
    <w:rsid w:val="00ED3B0B"/>
    <w:rsid w:val="00EE57F3"/>
    <w:rsid w:val="00EF1B43"/>
    <w:rsid w:val="00EF5908"/>
    <w:rsid w:val="00F0190B"/>
    <w:rsid w:val="00F10C0A"/>
    <w:rsid w:val="00F13972"/>
    <w:rsid w:val="00F13D6A"/>
    <w:rsid w:val="00F33613"/>
    <w:rsid w:val="00F47AA1"/>
    <w:rsid w:val="00F5000D"/>
    <w:rsid w:val="00F6013C"/>
    <w:rsid w:val="00F60190"/>
    <w:rsid w:val="00F7088C"/>
    <w:rsid w:val="00F76743"/>
    <w:rsid w:val="00F83289"/>
    <w:rsid w:val="00F841B7"/>
    <w:rsid w:val="00F84AC7"/>
    <w:rsid w:val="00F87670"/>
    <w:rsid w:val="00F87827"/>
    <w:rsid w:val="00F92749"/>
    <w:rsid w:val="00FD4B6F"/>
    <w:rsid w:val="00FE3B8E"/>
    <w:rsid w:val="00FF3F87"/>
    <w:rsid w:val="00FF58EE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11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4F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11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4F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Nelfa Pausal</dc:creator>
  <cp:lastModifiedBy>Nelfa Pausal</cp:lastModifiedBy>
  <cp:revision>1</cp:revision>
  <dcterms:created xsi:type="dcterms:W3CDTF">2023-05-23T00:54:00Z</dcterms:created>
  <dcterms:modified xsi:type="dcterms:W3CDTF">2023-05-23T00:55:00Z</dcterms:modified>
</cp:coreProperties>
</file>