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05" w:rsidRPr="00C52205" w:rsidRDefault="00C52205" w:rsidP="00C52205">
      <w:pPr>
        <w:spacing w:after="160"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2"/>
          <w:lang w:val="en-US" w:eastAsia="en-US"/>
        </w:rPr>
      </w:pPr>
      <w:r w:rsidRPr="00C52205">
        <w:rPr>
          <w:rFonts w:asciiTheme="minorHAnsi" w:eastAsiaTheme="minorHAnsi" w:hAnsiTheme="minorHAnsi" w:cstheme="minorHAnsi"/>
          <w:b/>
          <w:bCs/>
          <w:sz w:val="20"/>
          <w:szCs w:val="22"/>
          <w:lang w:val="en-US" w:eastAsia="en-US"/>
        </w:rPr>
        <w:t xml:space="preserve">ADDITIONAL FILE </w:t>
      </w:r>
      <w:r w:rsidRPr="00C52205">
        <w:rPr>
          <w:rFonts w:asciiTheme="minorHAnsi" w:eastAsiaTheme="minorHAnsi" w:hAnsiTheme="minorHAnsi" w:cstheme="minorHAnsi"/>
          <w:b/>
          <w:bCs/>
          <w:sz w:val="20"/>
          <w:szCs w:val="22"/>
          <w:lang w:val="en-US" w:eastAsia="en-US"/>
        </w:rPr>
        <w:t>1</w:t>
      </w:r>
    </w:p>
    <w:p w:rsidR="00746F6D" w:rsidRPr="00C52205" w:rsidRDefault="00746F6D" w:rsidP="00C52205">
      <w:pPr>
        <w:spacing w:after="160"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2"/>
          <w:lang w:val="en-US" w:eastAsia="en-US"/>
        </w:rPr>
      </w:pPr>
      <w:r w:rsidRPr="00C52205">
        <w:rPr>
          <w:rFonts w:asciiTheme="minorHAnsi" w:hAnsiTheme="minorHAnsi" w:cstheme="minorHAnsi"/>
          <w:b/>
          <w:bCs/>
          <w:sz w:val="20"/>
          <w:lang w:val="en-US"/>
        </w:rPr>
        <w:t>Results of in-house re-categorization of DDI severity</w:t>
      </w: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914C5">
        <w:rPr>
          <w:rFonts w:asciiTheme="minorHAnsi" w:hAnsiTheme="minorHAnsi" w:cstheme="minorHAnsi"/>
          <w:sz w:val="20"/>
          <w:szCs w:val="20"/>
          <w:lang w:val="en-GB"/>
        </w:rPr>
        <w:t xml:space="preserve">Our drug-drug interaction clinical decision support system makes use of the DelphiCare® database. In this database, DDIs were categorized in six groups based on severity till October 2013. From October 2013, DDIs were categorized in eight risk groups. </w:t>
      </w: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6343"/>
      </w:tblGrid>
      <w:tr w:rsidR="005F71C5" w:rsidRPr="00C52205" w:rsidTr="003A1D7E">
        <w:tc>
          <w:tcPr>
            <w:tcW w:w="7756" w:type="dxa"/>
            <w:gridSpan w:val="2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Severity level classification DelphiCare® database till October 2013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Contraindicated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Contraindicated by precaution</w:t>
            </w:r>
          </w:p>
        </w:tc>
      </w:tr>
      <w:tr w:rsidR="005F71C5" w:rsidRPr="00C5220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Patient monitoring or adaptation of drug regimen required</w:t>
            </w:r>
          </w:p>
        </w:tc>
      </w:tr>
      <w:tr w:rsidR="005F71C5" w:rsidRPr="00C5220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Patient moni</w:t>
            </w:r>
            <w:r w:rsidR="002F6A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toring or adaption of drug regim</w:t>
            </w: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 required in specific cases only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Proceed with caution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measures needed </w:t>
            </w:r>
          </w:p>
        </w:tc>
      </w:tr>
    </w:tbl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6343"/>
      </w:tblGrid>
      <w:tr w:rsidR="005F71C5" w:rsidRPr="00C52205" w:rsidTr="003A1D7E">
        <w:tc>
          <w:tcPr>
            <w:tcW w:w="7756" w:type="dxa"/>
            <w:gridSpan w:val="2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Severity level classification DelphiCare® database from October 2013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Contraindicated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Contraindicated in specific cases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Contraindicated by precaution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Concurrent use not recommended</w:t>
            </w:r>
          </w:p>
        </w:tc>
      </w:tr>
      <w:tr w:rsidR="005F71C5" w:rsidRPr="00C5220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Patient monitoring or adaptation of drug regimen required</w:t>
            </w:r>
          </w:p>
        </w:tc>
      </w:tr>
      <w:tr w:rsidR="005F71C5" w:rsidRPr="00C5220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Patient monitoring or adaption of drug </w:t>
            </w:r>
            <w:r w:rsidR="002F6A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regim</w:t>
            </w: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 required in specific cases only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Proceed with caution</w:t>
            </w:r>
          </w:p>
        </w:tc>
      </w:tr>
      <w:tr w:rsidR="005F71C5" w:rsidRPr="004914C5" w:rsidTr="003A1D7E">
        <w:tc>
          <w:tcPr>
            <w:tcW w:w="141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343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measures needed </w:t>
            </w:r>
          </w:p>
        </w:tc>
      </w:tr>
    </w:tbl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914C5">
        <w:rPr>
          <w:rFonts w:asciiTheme="minorHAnsi" w:hAnsiTheme="minorHAnsi" w:cstheme="minorHAnsi"/>
          <w:sz w:val="20"/>
          <w:szCs w:val="20"/>
          <w:lang w:val="en-GB"/>
        </w:rPr>
        <w:t>In our home-grown hospital information system, only three severity categories are used to classify DDIs (i.e. “very severe”, “severe” and “other” DDIs).</w:t>
      </w: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914C5">
        <w:rPr>
          <w:rFonts w:asciiTheme="minorHAnsi" w:hAnsiTheme="minorHAnsi" w:cstheme="minorHAnsi"/>
          <w:sz w:val="20"/>
          <w:szCs w:val="20"/>
          <w:lang w:val="en-GB"/>
        </w:rPr>
        <w:t>The expert working group consists of physicians and hospital pharmacists and gathers on a regular basis since 2009. During these meetings, the drug-drug interactions with a severity category of 1, 2 or 3 based on DelphiCare® are reviewed based on the available literature and are then allocated to the “very severe”, “severe” or “other” DDI group. Interactions with a lower severity category according to the DelphiCare® database (i.e. category 4-6 and 4-8 before and after October 2013) are not routinely reviewed but are automatically assigned to the “other” DDI group. These DDIs can however be allocated to a higher severity group at the request of physic</w:t>
      </w:r>
      <w:r w:rsidR="002F6A30">
        <w:rPr>
          <w:rFonts w:asciiTheme="minorHAnsi" w:hAnsiTheme="minorHAnsi" w:cstheme="minorHAnsi"/>
          <w:sz w:val="20"/>
          <w:szCs w:val="20"/>
          <w:lang w:val="en-GB"/>
        </w:rPr>
        <w:t>i</w:t>
      </w:r>
      <w:r w:rsidRPr="004914C5">
        <w:rPr>
          <w:rFonts w:asciiTheme="minorHAnsi" w:hAnsiTheme="minorHAnsi" w:cstheme="minorHAnsi"/>
          <w:sz w:val="20"/>
          <w:szCs w:val="20"/>
          <w:lang w:val="en-GB"/>
        </w:rPr>
        <w:t xml:space="preserve">ans or hospital pharmacists. </w:t>
      </w:r>
    </w:p>
    <w:p w:rsidR="00746F6D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914C5">
        <w:rPr>
          <w:rFonts w:asciiTheme="minorHAnsi" w:hAnsiTheme="minorHAnsi" w:cstheme="minorHAnsi"/>
          <w:sz w:val="20"/>
          <w:szCs w:val="20"/>
          <w:lang w:val="en-GB"/>
        </w:rPr>
        <w:lastRenderedPageBreak/>
        <w:t>Criteria used by the</w:t>
      </w:r>
      <w:bookmarkStart w:id="0" w:name="_GoBack"/>
      <w:bookmarkEnd w:id="0"/>
      <w:r w:rsidRPr="004914C5">
        <w:rPr>
          <w:rFonts w:asciiTheme="minorHAnsi" w:hAnsiTheme="minorHAnsi" w:cstheme="minorHAnsi"/>
          <w:sz w:val="20"/>
          <w:szCs w:val="20"/>
          <w:lang w:val="en-GB"/>
        </w:rPr>
        <w:t xml:space="preserve"> expert working group are the severity of the potential consequences of the drug-drug interaction and the available evidence. </w:t>
      </w:r>
    </w:p>
    <w:p w:rsidR="004914C5" w:rsidRPr="004914C5" w:rsidRDefault="004914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914C5">
        <w:rPr>
          <w:rFonts w:asciiTheme="minorHAnsi" w:hAnsiTheme="minorHAnsi" w:cstheme="minorHAnsi"/>
          <w:sz w:val="20"/>
          <w:szCs w:val="20"/>
          <w:lang w:val="en-GB"/>
        </w:rPr>
        <w:t xml:space="preserve">Today we have 2066 drug-drug interaction groups in our drug-drug interaction clinical decision support system: </w:t>
      </w:r>
    </w:p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8"/>
        <w:gridCol w:w="3878"/>
      </w:tblGrid>
      <w:tr w:rsidR="005F71C5" w:rsidRPr="00C52205" w:rsidTr="00746F6D"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DelphiCare® severity level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Customized in-house severity level </w:t>
            </w:r>
          </w:p>
        </w:tc>
      </w:tr>
      <w:tr w:rsidR="005F71C5" w:rsidRPr="004914C5" w:rsidTr="00746F6D"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81 DDIs with severity level 1 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56 “very 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15 “severe”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10 “other” </w:t>
            </w:r>
          </w:p>
        </w:tc>
      </w:tr>
      <w:tr w:rsidR="005F71C5" w:rsidRPr="004914C5" w:rsidTr="00746F6D"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 DDIs with severity level 2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 “very 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 “severe”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 “other” </w:t>
            </w:r>
          </w:p>
        </w:tc>
      </w:tr>
      <w:tr w:rsidR="005F71C5" w:rsidRPr="004914C5" w:rsidTr="00746F6D"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188 DDIs with severity level 3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46 “very 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74 “severe” 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68 “other”  </w:t>
            </w:r>
          </w:p>
        </w:tc>
      </w:tr>
      <w:tr w:rsidR="005F71C5" w:rsidRPr="004914C5" w:rsidTr="00746F6D"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363 DDIs with severity level 4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 “very 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54 “severe”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289 “other” </w:t>
            </w:r>
          </w:p>
        </w:tc>
      </w:tr>
      <w:tr w:rsidR="005F71C5" w:rsidRPr="004914C5" w:rsidTr="00746F6D"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650 DDIs with severity level 5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 “very severe” </w:t>
            </w:r>
          </w:p>
        </w:tc>
      </w:tr>
      <w:tr w:rsidR="005F71C5" w:rsidRPr="004914C5" w:rsidTr="00746F6D"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139 “severe”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506 “other” 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65 DDIs with severity level 6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 “severe”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61 “other”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 w:val="restart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674 DDIs with severity level 7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 “very severe”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15 “severe” 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  <w:vMerge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658 “other” </w:t>
            </w:r>
          </w:p>
        </w:tc>
      </w:tr>
      <w:tr w:rsidR="005F71C5" w:rsidRPr="004914C5" w:rsidTr="00746F6D">
        <w:trPr>
          <w:trHeight w:val="186"/>
        </w:trPr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 DDIs with severity level 8</w:t>
            </w:r>
          </w:p>
        </w:tc>
        <w:tc>
          <w:tcPr>
            <w:tcW w:w="3878" w:type="dxa"/>
          </w:tcPr>
          <w:p w:rsidR="005F71C5" w:rsidRPr="004914C5" w:rsidRDefault="005F71C5" w:rsidP="004914C5">
            <w:pPr>
              <w:pStyle w:val="Tekstzonderopmaak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91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28 “other” </w:t>
            </w:r>
          </w:p>
        </w:tc>
      </w:tr>
    </w:tbl>
    <w:p w:rsidR="005F71C5" w:rsidRPr="004914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F71C5" w:rsidRPr="005F71C5" w:rsidRDefault="005F71C5" w:rsidP="004914C5">
      <w:pPr>
        <w:pStyle w:val="Tekstzonderopmaak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914C5">
        <w:rPr>
          <w:rFonts w:asciiTheme="minorHAnsi" w:hAnsiTheme="minorHAnsi" w:cstheme="minorHAnsi"/>
          <w:sz w:val="20"/>
          <w:szCs w:val="20"/>
          <w:lang w:val="en-US"/>
        </w:rPr>
        <w:t>All DDIs with a DelphiCare</w:t>
      </w:r>
      <w:r w:rsidR="002F6A30">
        <w:rPr>
          <w:rFonts w:asciiTheme="minorHAnsi" w:hAnsiTheme="minorHAnsi" w:cstheme="minorHAnsi"/>
          <w:sz w:val="20"/>
          <w:szCs w:val="20"/>
          <w:lang w:val="en-US"/>
        </w:rPr>
        <w:t>®</w:t>
      </w:r>
      <w:r w:rsidRPr="004914C5">
        <w:rPr>
          <w:rFonts w:asciiTheme="minorHAnsi" w:hAnsiTheme="minorHAnsi" w:cstheme="minorHAnsi"/>
          <w:sz w:val="20"/>
          <w:szCs w:val="20"/>
          <w:lang w:val="en-US"/>
        </w:rPr>
        <w:t xml:space="preserve"> severity level of 1, 2 or 3 (i.e. 286 DDIs) have been reviewed by the expert working group. Some DDIs with a lower severity level (today) have also been reviewed by the expert working group, (i) because they had higher DelphiCare® severity level assigned before October 2013 or (ii) because the DDI was reviewed at the request of a physician or hospital pharmacist.</w:t>
      </w:r>
      <w:r w:rsidRPr="005F71C5">
        <w:rPr>
          <w:rFonts w:asciiTheme="minorHAnsi" w:hAnsiTheme="minorHAnsi" w:cstheme="minorHAnsi"/>
          <w:lang w:val="en-US"/>
        </w:rPr>
        <w:t xml:space="preserve"> </w:t>
      </w:r>
    </w:p>
    <w:p w:rsidR="0018744B" w:rsidRPr="005F71C5" w:rsidRDefault="00C52205">
      <w:pPr>
        <w:rPr>
          <w:lang w:val="en-US"/>
        </w:rPr>
      </w:pPr>
    </w:p>
    <w:sectPr w:rsidR="0018744B" w:rsidRPr="005F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5"/>
    <w:rsid w:val="002F6A30"/>
    <w:rsid w:val="0035120E"/>
    <w:rsid w:val="004914C5"/>
    <w:rsid w:val="005F6080"/>
    <w:rsid w:val="005F71C5"/>
    <w:rsid w:val="006F0E75"/>
    <w:rsid w:val="00746F6D"/>
    <w:rsid w:val="007C5456"/>
    <w:rsid w:val="00C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293"/>
  <w15:chartTrackingRefBased/>
  <w15:docId w15:val="{40F9DEAA-33C1-48E9-96B8-97197A9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71C5"/>
    <w:pPr>
      <w:spacing w:after="0" w:line="264" w:lineRule="auto"/>
    </w:pPr>
    <w:rPr>
      <w:rFonts w:ascii="Gill Sans MT" w:eastAsia="Times New Roman" w:hAnsi="Gill Sans MT" w:cs="Times New Roman"/>
      <w:sz w:val="21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F71C5"/>
    <w:pPr>
      <w:spacing w:line="240" w:lineRule="auto"/>
    </w:pPr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71C5"/>
    <w:rPr>
      <w:rFonts w:ascii="Calibri" w:hAnsi="Calibri"/>
      <w:szCs w:val="21"/>
    </w:rPr>
  </w:style>
  <w:style w:type="table" w:styleId="Tabelraster">
    <w:name w:val="Table Grid"/>
    <w:basedOn w:val="Standaardtabel"/>
    <w:rsid w:val="005F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5">
    <w:name w:val="List Table 3 Accent 5"/>
    <w:basedOn w:val="Standaardtabel"/>
    <w:uiPriority w:val="48"/>
    <w:rsid w:val="005F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Van De Sijpe</dc:creator>
  <cp:keywords/>
  <dc:description/>
  <cp:lastModifiedBy>Greet Van De Sijpe</cp:lastModifiedBy>
  <cp:revision>5</cp:revision>
  <dcterms:created xsi:type="dcterms:W3CDTF">2021-12-23T08:21:00Z</dcterms:created>
  <dcterms:modified xsi:type="dcterms:W3CDTF">2021-12-23T09:22:00Z</dcterms:modified>
</cp:coreProperties>
</file>