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2293"/>
        <w:gridCol w:w="2693"/>
        <w:gridCol w:w="2615"/>
      </w:tblGrid>
      <w:tr w:rsidR="002941D0" w:rsidRPr="002941D0" w14:paraId="28B54394" w14:textId="77777777" w:rsidTr="00F74A99">
        <w:trPr>
          <w:jc w:val="center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6ABB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Appendix 1</w:t>
            </w:r>
            <w:r w:rsidRPr="002941D0">
              <w:rPr>
                <w:sz w:val="24"/>
                <w:szCs w:val="24"/>
              </w:rPr>
              <w:t xml:space="preserve">. Dictionary terms used in this study. </w:t>
            </w:r>
          </w:p>
        </w:tc>
      </w:tr>
      <w:tr w:rsidR="002941D0" w:rsidRPr="002941D0" w14:paraId="02B06DE4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E4EB8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ECD65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Lungs/Pleura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A92C2" w14:textId="77777777" w:rsidR="002941D0" w:rsidRPr="002941D0" w:rsidRDefault="002941D0" w:rsidP="002941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Liver/Gallbladder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CC1B8" w14:textId="77777777" w:rsidR="002941D0" w:rsidRPr="002941D0" w:rsidRDefault="002941D0" w:rsidP="002941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Kidneys/Ureters</w:t>
            </w:r>
          </w:p>
        </w:tc>
      </w:tr>
      <w:tr w:rsidR="002941D0" w:rsidRPr="002941D0" w14:paraId="42F35B4D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773B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b/>
                <w:bCs/>
                <w:sz w:val="24"/>
                <w:szCs w:val="24"/>
              </w:rPr>
            </w:pPr>
          </w:p>
          <w:p w14:paraId="200EDD24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Organ Anatomy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7C3A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color w:val="0D0D0D"/>
                <w:sz w:val="24"/>
                <w:szCs w:val="24"/>
              </w:rPr>
            </w:pPr>
            <w:r w:rsidRPr="002941D0">
              <w:rPr>
                <w:color w:val="0D0D0D"/>
                <w:kern w:val="24"/>
                <w:sz w:val="24"/>
                <w:szCs w:val="24"/>
              </w:rPr>
              <w:t xml:space="preserve">lung, pulmonary, </w:t>
            </w:r>
            <w:proofErr w:type="spellStart"/>
            <w:r w:rsidRPr="002941D0">
              <w:rPr>
                <w:color w:val="0D0D0D"/>
                <w:kern w:val="24"/>
                <w:sz w:val="24"/>
                <w:szCs w:val="24"/>
              </w:rPr>
              <w:t>lower|upper|middle</w:t>
            </w:r>
            <w:proofErr w:type="spellEnd"/>
            <w:r w:rsidRPr="002941D0">
              <w:rPr>
                <w:color w:val="0D0D0D"/>
                <w:kern w:val="24"/>
                <w:sz w:val="24"/>
                <w:szCs w:val="24"/>
              </w:rPr>
              <w:t xml:space="preserve"> lobe, centrilobular, </w:t>
            </w:r>
            <w:proofErr w:type="spellStart"/>
            <w:r w:rsidRPr="002941D0">
              <w:rPr>
                <w:color w:val="0D0D0D"/>
                <w:kern w:val="24"/>
                <w:sz w:val="24"/>
                <w:szCs w:val="24"/>
              </w:rPr>
              <w:t>perifissural</w:t>
            </w:r>
            <w:proofErr w:type="spellEnd"/>
            <w:r w:rsidRPr="002941D0">
              <w:rPr>
                <w:color w:val="0D0D0D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color w:val="0D0D0D"/>
                <w:kern w:val="24"/>
                <w:sz w:val="24"/>
                <w:szCs w:val="24"/>
              </w:rPr>
              <w:t>left|right</w:t>
            </w:r>
            <w:proofErr w:type="spellEnd"/>
            <w:r w:rsidRPr="002941D0">
              <w:rPr>
                <w:color w:val="0D0D0D"/>
                <w:kern w:val="24"/>
                <w:sz w:val="24"/>
                <w:szCs w:val="24"/>
              </w:rPr>
              <w:t xml:space="preserve"> base, bases, basilar, </w:t>
            </w:r>
            <w:proofErr w:type="spellStart"/>
            <w:r w:rsidRPr="002941D0">
              <w:rPr>
                <w:color w:val="0D0D0D"/>
                <w:kern w:val="24"/>
                <w:sz w:val="24"/>
                <w:szCs w:val="24"/>
              </w:rPr>
              <w:t>bronch</w:t>
            </w:r>
            <w:proofErr w:type="spellEnd"/>
            <w:r w:rsidRPr="002941D0">
              <w:rPr>
                <w:color w:val="0D0D0D"/>
                <w:kern w:val="24"/>
                <w:sz w:val="24"/>
                <w:szCs w:val="24"/>
              </w:rPr>
              <w:t>, trachea, airspace, airway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8A838" w14:textId="77777777" w:rsidR="002941D0" w:rsidRPr="002941D0" w:rsidRDefault="002941D0" w:rsidP="002941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liver, hepatic, </w:t>
            </w:r>
            <w:proofErr w:type="spellStart"/>
            <w:r w:rsidRPr="002941D0">
              <w:rPr>
                <w:sz w:val="24"/>
                <w:szCs w:val="24"/>
              </w:rPr>
              <w:t>hepato</w:t>
            </w:r>
            <w:proofErr w:type="spellEnd"/>
            <w:r w:rsidRPr="002941D0">
              <w:rPr>
                <w:sz w:val="24"/>
                <w:szCs w:val="24"/>
              </w:rPr>
              <w:t xml:space="preserve">, gallbladder, </w:t>
            </w:r>
            <w:proofErr w:type="spellStart"/>
            <w:r w:rsidRPr="002941D0">
              <w:rPr>
                <w:sz w:val="24"/>
                <w:szCs w:val="24"/>
              </w:rPr>
              <w:t>thegallbladder</w:t>
            </w:r>
            <w:proofErr w:type="spellEnd"/>
            <w:r w:rsidRPr="002941D0">
              <w:rPr>
                <w:sz w:val="24"/>
                <w:szCs w:val="24"/>
              </w:rPr>
              <w:t xml:space="preserve">, gall bladder, biliary, bile, </w:t>
            </w:r>
            <w:proofErr w:type="spellStart"/>
            <w:r w:rsidRPr="002941D0">
              <w:rPr>
                <w:sz w:val="24"/>
                <w:szCs w:val="24"/>
              </w:rPr>
              <w:t>left|right|caudate|quadrate</w:t>
            </w:r>
            <w:proofErr w:type="spellEnd"/>
            <w:r w:rsidRPr="002941D0">
              <w:rPr>
                <w:sz w:val="24"/>
                <w:szCs w:val="24"/>
              </w:rPr>
              <w:t xml:space="preserve"> lobe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A3C97" w14:textId="77777777" w:rsidR="002941D0" w:rsidRPr="002941D0" w:rsidRDefault="002941D0" w:rsidP="002941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kidney, renal, </w:t>
            </w:r>
            <w:proofErr w:type="spellStart"/>
            <w:r w:rsidRPr="002941D0">
              <w:rPr>
                <w:sz w:val="24"/>
                <w:szCs w:val="24"/>
              </w:rPr>
              <w:t>nephr</w:t>
            </w:r>
            <w:proofErr w:type="spellEnd"/>
            <w:r w:rsidRPr="002941D0">
              <w:rPr>
                <w:sz w:val="24"/>
                <w:szCs w:val="24"/>
              </w:rPr>
              <w:t xml:space="preserve">, ureter, </w:t>
            </w:r>
            <w:proofErr w:type="spellStart"/>
            <w:r w:rsidRPr="002941D0">
              <w:rPr>
                <w:sz w:val="24"/>
                <w:szCs w:val="24"/>
              </w:rPr>
              <w:t>cort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medul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caliectasis</w:t>
            </w:r>
            <w:proofErr w:type="spellEnd"/>
            <w:r w:rsidRPr="002941D0">
              <w:rPr>
                <w:sz w:val="24"/>
                <w:szCs w:val="24"/>
              </w:rPr>
              <w:t>, UVJ</w:t>
            </w:r>
          </w:p>
        </w:tc>
      </w:tr>
      <w:tr w:rsidR="002941D0" w:rsidRPr="002941D0" w14:paraId="5C3F3B53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D0268C6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</w:p>
          <w:p w14:paraId="307A3891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</w:p>
          <w:p w14:paraId="5BD8D4D6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</w:p>
          <w:p w14:paraId="2869FE7E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Single-organ</w:t>
            </w:r>
          </w:p>
          <w:p w14:paraId="0554FF12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Disease descriptors</w:t>
            </w:r>
          </w:p>
          <w:p w14:paraId="28C9FA1B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78CA9DC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pneumothorax, emphysema, </w:t>
            </w:r>
            <w:proofErr w:type="spellStart"/>
            <w:r w:rsidRPr="002941D0">
              <w:rPr>
                <w:sz w:val="24"/>
                <w:szCs w:val="24"/>
              </w:rPr>
              <w:t>pneumoni</w:t>
            </w:r>
            <w:proofErr w:type="spellEnd"/>
            <w:r w:rsidRPr="002941D0">
              <w:rPr>
                <w:sz w:val="24"/>
                <w:szCs w:val="24"/>
              </w:rPr>
              <w:t xml:space="preserve">, ground glass, aspiration, bronchiectasis, </w:t>
            </w:r>
            <w:proofErr w:type="spellStart"/>
            <w:r w:rsidRPr="002941D0">
              <w:rPr>
                <w:sz w:val="24"/>
                <w:szCs w:val="24"/>
              </w:rPr>
              <w:t>atelecta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embol</w:t>
            </w:r>
            <w:proofErr w:type="spellEnd"/>
            <w:r w:rsidRPr="002941D0">
              <w:rPr>
                <w:sz w:val="24"/>
                <w:szCs w:val="24"/>
              </w:rPr>
              <w:t>, air trapping, pleural effusion, pneumonectomy</w:t>
            </w:r>
          </w:p>
          <w:p w14:paraId="1A5D44C6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7243055" w14:textId="77777777" w:rsidR="002941D0" w:rsidRPr="002941D0" w:rsidRDefault="002941D0" w:rsidP="002941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steatosis, </w:t>
            </w:r>
            <w:proofErr w:type="spellStart"/>
            <w:r w:rsidRPr="002941D0">
              <w:rPr>
                <w:sz w:val="24"/>
                <w:szCs w:val="24"/>
              </w:rPr>
              <w:t>cirrho</w:t>
            </w:r>
            <w:proofErr w:type="spellEnd"/>
            <w:r w:rsidRPr="002941D0">
              <w:rPr>
                <w:sz w:val="24"/>
                <w:szCs w:val="24"/>
              </w:rPr>
              <w:t>, cholecystectomy, gallstone, cholelithiasis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25EDC89" w14:textId="77777777" w:rsidR="002941D0" w:rsidRPr="002941D0" w:rsidRDefault="002941D0" w:rsidP="002941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hydronephrosis, hydroureter, nephrectomy, </w:t>
            </w:r>
            <w:proofErr w:type="spellStart"/>
            <w:r w:rsidRPr="002941D0">
              <w:rPr>
                <w:sz w:val="24"/>
                <w:szCs w:val="24"/>
              </w:rPr>
              <w:t>pelvicaliectasis</w:t>
            </w:r>
            <w:proofErr w:type="spellEnd"/>
            <w:r w:rsidRPr="002941D0">
              <w:rPr>
                <w:sz w:val="24"/>
                <w:szCs w:val="24"/>
              </w:rPr>
              <w:t xml:space="preserve">, uropathy, </w:t>
            </w:r>
            <w:proofErr w:type="spellStart"/>
            <w:r w:rsidRPr="002941D0">
              <w:rPr>
                <w:sz w:val="24"/>
                <w:szCs w:val="24"/>
              </w:rPr>
              <w:t>ureterectasis</w:t>
            </w:r>
            <w:proofErr w:type="spellEnd"/>
            <w:r w:rsidRPr="002941D0">
              <w:rPr>
                <w:sz w:val="24"/>
                <w:szCs w:val="24"/>
              </w:rPr>
              <w:t>, nephrolithiasis</w:t>
            </w:r>
          </w:p>
        </w:tc>
      </w:tr>
      <w:tr w:rsidR="002941D0" w:rsidRPr="002941D0" w14:paraId="7827E451" w14:textId="77777777" w:rsidTr="00F74A99">
        <w:trPr>
          <w:jc w:val="center"/>
        </w:trPr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D3CAE7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b/>
                <w:bCs/>
                <w:sz w:val="24"/>
                <w:szCs w:val="24"/>
              </w:rPr>
            </w:pPr>
          </w:p>
          <w:p w14:paraId="581BBB09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b/>
                <w:bCs/>
                <w:sz w:val="24"/>
                <w:szCs w:val="24"/>
              </w:rPr>
            </w:pPr>
          </w:p>
          <w:p w14:paraId="3AE32E2C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b/>
                <w:bCs/>
                <w:sz w:val="24"/>
                <w:szCs w:val="24"/>
              </w:rPr>
            </w:pPr>
          </w:p>
          <w:p w14:paraId="386F347D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Multi-organ Disease Descriptors</w:t>
            </w:r>
          </w:p>
          <w:p w14:paraId="1D3D6578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6A8010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mass, </w:t>
            </w:r>
            <w:proofErr w:type="spellStart"/>
            <w:r w:rsidRPr="002941D0">
              <w:rPr>
                <w:sz w:val="24"/>
                <w:szCs w:val="24"/>
              </w:rPr>
              <w:t>opaci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calcul</w:t>
            </w:r>
            <w:proofErr w:type="spellEnd"/>
            <w:r w:rsidRPr="002941D0">
              <w:rPr>
                <w:sz w:val="24"/>
                <w:szCs w:val="24"/>
              </w:rPr>
              <w:t xml:space="preserve">, stone, scar, </w:t>
            </w:r>
            <w:proofErr w:type="spellStart"/>
            <w:r w:rsidRPr="002941D0">
              <w:rPr>
                <w:sz w:val="24"/>
                <w:szCs w:val="24"/>
              </w:rPr>
              <w:t>metas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malignan</w:t>
            </w:r>
            <w:proofErr w:type="spellEnd"/>
            <w:r w:rsidRPr="002941D0">
              <w:rPr>
                <w:sz w:val="24"/>
                <w:szCs w:val="24"/>
              </w:rPr>
              <w:t xml:space="preserve">, cancer, tumor, neoplasm, lithiasis, </w:t>
            </w:r>
            <w:proofErr w:type="spellStart"/>
            <w:r w:rsidRPr="002941D0">
              <w:rPr>
                <w:sz w:val="24"/>
                <w:szCs w:val="24"/>
              </w:rPr>
              <w:t>atroph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recurren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hyperenhanc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hypoenhanc</w:t>
            </w:r>
            <w:proofErr w:type="spellEnd"/>
            <w:r w:rsidRPr="002941D0">
              <w:rPr>
                <w:sz w:val="24"/>
                <w:szCs w:val="24"/>
              </w:rPr>
              <w:t xml:space="preserve">, aneurysm, lesion, nodule, nodular, </w:t>
            </w:r>
            <w:proofErr w:type="spellStart"/>
            <w:r w:rsidRPr="002941D0">
              <w:rPr>
                <w:sz w:val="24"/>
                <w:szCs w:val="24"/>
              </w:rPr>
              <w:t>calcifi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opacit</w:t>
            </w:r>
            <w:proofErr w:type="spellEnd"/>
            <w:r w:rsidRPr="002941D0">
              <w:rPr>
                <w:sz w:val="24"/>
                <w:szCs w:val="24"/>
              </w:rPr>
              <w:t xml:space="preserve">, effusion, resect, </w:t>
            </w:r>
            <w:proofErr w:type="spellStart"/>
            <w:r w:rsidRPr="002941D0">
              <w:rPr>
                <w:sz w:val="24"/>
                <w:szCs w:val="24"/>
              </w:rPr>
              <w:t>thromb</w:t>
            </w:r>
            <w:proofErr w:type="spellEnd"/>
            <w:r w:rsidRPr="002941D0">
              <w:rPr>
                <w:sz w:val="24"/>
                <w:szCs w:val="24"/>
              </w:rPr>
              <w:t xml:space="preserve">, infect, infarct, </w:t>
            </w:r>
            <w:proofErr w:type="spellStart"/>
            <w:r w:rsidRPr="002941D0">
              <w:rPr>
                <w:sz w:val="24"/>
                <w:szCs w:val="24"/>
              </w:rPr>
              <w:t>inflam</w:t>
            </w:r>
            <w:proofErr w:type="spellEnd"/>
            <w:r w:rsidRPr="002941D0">
              <w:rPr>
                <w:sz w:val="24"/>
                <w:szCs w:val="24"/>
              </w:rPr>
              <w:t xml:space="preserve">, fluid, consolidate, degenerative, dissect, </w:t>
            </w:r>
            <w:proofErr w:type="spellStart"/>
            <w:r w:rsidRPr="002941D0">
              <w:rPr>
                <w:sz w:val="24"/>
                <w:szCs w:val="24"/>
              </w:rPr>
              <w:t>collaps</w:t>
            </w:r>
            <w:proofErr w:type="spellEnd"/>
            <w:r w:rsidRPr="002941D0">
              <w:rPr>
                <w:sz w:val="24"/>
                <w:szCs w:val="24"/>
              </w:rPr>
              <w:t xml:space="preserve">, fissure, edema, cyst, focus, angioma, spiculated, architectural distortion, lytic, pathologic, defect, hernia, </w:t>
            </w:r>
            <w:proofErr w:type="spellStart"/>
            <w:r w:rsidRPr="002941D0">
              <w:rPr>
                <w:sz w:val="24"/>
                <w:szCs w:val="24"/>
              </w:rPr>
              <w:t>biops</w:t>
            </w:r>
            <w:proofErr w:type="spellEnd"/>
            <w:r w:rsidRPr="002941D0">
              <w:rPr>
                <w:sz w:val="24"/>
                <w:szCs w:val="24"/>
              </w:rPr>
              <w:t xml:space="preserve">, encasement, fibroid, hemorrhage, </w:t>
            </w:r>
            <w:proofErr w:type="spellStart"/>
            <w:r w:rsidRPr="002941D0">
              <w:rPr>
                <w:sz w:val="24"/>
                <w:szCs w:val="24"/>
              </w:rPr>
              <w:t>multilocul</w:t>
            </w:r>
            <w:proofErr w:type="spellEnd"/>
            <w:r w:rsidRPr="002941D0">
              <w:rPr>
                <w:sz w:val="24"/>
                <w:szCs w:val="24"/>
              </w:rPr>
              <w:t xml:space="preserve">, distension, stricture, </w:t>
            </w:r>
            <w:proofErr w:type="spellStart"/>
            <w:r w:rsidRPr="002941D0">
              <w:rPr>
                <w:sz w:val="24"/>
                <w:szCs w:val="24"/>
              </w:rPr>
              <w:t>obstructi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hypodens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hyperdens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hypoattenuat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hyperattenuat</w:t>
            </w:r>
            <w:proofErr w:type="spellEnd"/>
            <w:r w:rsidRPr="002941D0">
              <w:rPr>
                <w:sz w:val="24"/>
                <w:szCs w:val="24"/>
              </w:rPr>
              <w:t xml:space="preserve">, necrosis, irregular, ectasia, </w:t>
            </w:r>
            <w:proofErr w:type="spellStart"/>
            <w:r w:rsidRPr="002941D0">
              <w:rPr>
                <w:sz w:val="24"/>
                <w:szCs w:val="24"/>
              </w:rPr>
              <w:t>destructi</w:t>
            </w:r>
            <w:proofErr w:type="spellEnd"/>
            <w:r w:rsidRPr="002941D0">
              <w:rPr>
                <w:sz w:val="24"/>
                <w:szCs w:val="24"/>
              </w:rPr>
              <w:t xml:space="preserve">, </w:t>
            </w:r>
            <w:proofErr w:type="spellStart"/>
            <w:r w:rsidRPr="002941D0">
              <w:rPr>
                <w:sz w:val="24"/>
                <w:szCs w:val="24"/>
              </w:rPr>
              <w:t>dilat</w:t>
            </w:r>
            <w:proofErr w:type="spellEnd"/>
            <w:r w:rsidRPr="002941D0">
              <w:rPr>
                <w:sz w:val="24"/>
                <w:szCs w:val="24"/>
              </w:rPr>
              <w:t xml:space="preserve">, granuloma, enlarged, abscess, stent, fatty </w:t>
            </w:r>
            <w:proofErr w:type="spellStart"/>
            <w:r w:rsidRPr="002941D0">
              <w:rPr>
                <w:sz w:val="24"/>
                <w:szCs w:val="24"/>
              </w:rPr>
              <w:t>infiltr</w:t>
            </w:r>
            <w:proofErr w:type="spellEnd"/>
            <w:r w:rsidRPr="002941D0">
              <w:rPr>
                <w:sz w:val="24"/>
                <w:szCs w:val="24"/>
              </w:rPr>
              <w:t>, stenosis, delay, carcinoma, adenoma, atrophy, hemangioma, density, surgically absent</w:t>
            </w:r>
          </w:p>
          <w:p w14:paraId="2BBFCCFE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</w:p>
        </w:tc>
      </w:tr>
      <w:tr w:rsidR="002941D0" w:rsidRPr="002941D0" w14:paraId="1E81F5D9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289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Negation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B3608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no, non, other, not, none, without, rather, negative, with regards to, however is no, are no, no evidence, </w:t>
            </w:r>
            <w:proofErr w:type="spellStart"/>
            <w:r w:rsidRPr="002941D0">
              <w:rPr>
                <w:sz w:val="24"/>
                <w:szCs w:val="24"/>
              </w:rPr>
              <w:t>noevidence</w:t>
            </w:r>
            <w:proofErr w:type="spellEnd"/>
            <w:r w:rsidRPr="002941D0">
              <w:rPr>
                <w:sz w:val="24"/>
                <w:szCs w:val="24"/>
              </w:rPr>
              <w:t>, limited exam for the evaluation</w:t>
            </w:r>
          </w:p>
          <w:p w14:paraId="0A349698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sz w:val="24"/>
                <w:szCs w:val="24"/>
              </w:rPr>
            </w:pPr>
          </w:p>
        </w:tc>
      </w:tr>
      <w:tr w:rsidR="002941D0" w:rsidRPr="002941D0" w14:paraId="4E643F72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15B3F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>Qualifiers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82C9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acute, new, size, contour, attenuation, caliber, however, morphological </w:t>
            </w:r>
          </w:p>
        </w:tc>
      </w:tr>
      <w:tr w:rsidR="002941D0" w:rsidRPr="002941D0" w14:paraId="0B46BC0A" w14:textId="77777777" w:rsidTr="00F74A99">
        <w:trPr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DDDD" w14:textId="77777777" w:rsidR="002941D0" w:rsidRPr="002941D0" w:rsidRDefault="002941D0" w:rsidP="002941D0">
            <w:pPr>
              <w:spacing w:line="276" w:lineRule="auto"/>
              <w:ind w:left="-111" w:right="-110"/>
              <w:jc w:val="center"/>
              <w:rPr>
                <w:b/>
                <w:bCs/>
                <w:sz w:val="24"/>
                <w:szCs w:val="24"/>
              </w:rPr>
            </w:pPr>
            <w:r w:rsidRPr="002941D0">
              <w:rPr>
                <w:b/>
                <w:bCs/>
                <w:sz w:val="24"/>
                <w:szCs w:val="24"/>
              </w:rPr>
              <w:t xml:space="preserve">Normal 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653D" w14:textId="77777777" w:rsidR="002941D0" w:rsidRPr="002941D0" w:rsidRDefault="002941D0" w:rsidP="002941D0">
            <w:pPr>
              <w:spacing w:line="276" w:lineRule="auto"/>
              <w:ind w:left="-111" w:right="-110"/>
              <w:jc w:val="both"/>
              <w:rPr>
                <w:sz w:val="24"/>
                <w:szCs w:val="24"/>
              </w:rPr>
            </w:pPr>
            <w:r w:rsidRPr="002941D0">
              <w:rPr>
                <w:sz w:val="24"/>
                <w:szCs w:val="24"/>
              </w:rPr>
              <w:t xml:space="preserve">Normal, unremarkable, negative exam, patent, clear, no </w:t>
            </w:r>
            <w:proofErr w:type="spellStart"/>
            <w:r w:rsidRPr="002941D0">
              <w:rPr>
                <w:sz w:val="24"/>
                <w:szCs w:val="24"/>
              </w:rPr>
              <w:t>abnormalit</w:t>
            </w:r>
            <w:proofErr w:type="spellEnd"/>
            <w:r w:rsidRPr="002941D0">
              <w:rPr>
                <w:sz w:val="24"/>
                <w:szCs w:val="24"/>
              </w:rPr>
              <w:t xml:space="preserve">, without </w:t>
            </w:r>
            <w:proofErr w:type="spellStart"/>
            <w:r w:rsidRPr="002941D0">
              <w:rPr>
                <w:sz w:val="24"/>
                <w:szCs w:val="24"/>
              </w:rPr>
              <w:t>abnormalit</w:t>
            </w:r>
            <w:proofErr w:type="spellEnd"/>
          </w:p>
        </w:tc>
      </w:tr>
    </w:tbl>
    <w:p w14:paraId="33A88E3F" w14:textId="77777777" w:rsidR="002941D0" w:rsidRPr="002941D0" w:rsidRDefault="002941D0" w:rsidP="002941D0">
      <w:pPr>
        <w:tabs>
          <w:tab w:val="left" w:pos="1930"/>
        </w:tabs>
        <w:spacing w:line="480" w:lineRule="auto"/>
        <w:rPr>
          <w:rFonts w:ascii="Times New Roman" w:eastAsia="Times New Roman" w:hAnsi="Times New Roman" w:cs="Times New Roman"/>
          <w:b/>
          <w:noProof/>
        </w:rPr>
      </w:pPr>
      <w:r w:rsidRPr="002941D0">
        <w:rPr>
          <w:rFonts w:ascii="Times New Roman" w:eastAsia="Times New Roman" w:hAnsi="Times New Roman" w:cs="Times New Roman"/>
          <w:b/>
          <w:noProof/>
        </w:rPr>
        <w:tab/>
      </w:r>
    </w:p>
    <w:p w14:paraId="7DA60A71" w14:textId="77777777" w:rsidR="00F728FC" w:rsidRDefault="00F728FC"/>
    <w:sectPr w:rsidR="00F728FC" w:rsidSect="000C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D0"/>
    <w:rsid w:val="00000CE7"/>
    <w:rsid w:val="00031183"/>
    <w:rsid w:val="000522C9"/>
    <w:rsid w:val="00054207"/>
    <w:rsid w:val="00062787"/>
    <w:rsid w:val="00076BDD"/>
    <w:rsid w:val="00082234"/>
    <w:rsid w:val="00096E9A"/>
    <w:rsid w:val="00097601"/>
    <w:rsid w:val="000A04A4"/>
    <w:rsid w:val="000A3B1A"/>
    <w:rsid w:val="000B35C0"/>
    <w:rsid w:val="000B383C"/>
    <w:rsid w:val="000C0338"/>
    <w:rsid w:val="000C5D27"/>
    <w:rsid w:val="000D1E1A"/>
    <w:rsid w:val="000D4DFD"/>
    <w:rsid w:val="000D6973"/>
    <w:rsid w:val="000E6FB2"/>
    <w:rsid w:val="000F09C8"/>
    <w:rsid w:val="00101D67"/>
    <w:rsid w:val="00106131"/>
    <w:rsid w:val="0015497C"/>
    <w:rsid w:val="0017029A"/>
    <w:rsid w:val="0018728A"/>
    <w:rsid w:val="00197D65"/>
    <w:rsid w:val="001A2844"/>
    <w:rsid w:val="001A2C78"/>
    <w:rsid w:val="00200B5B"/>
    <w:rsid w:val="00204D2C"/>
    <w:rsid w:val="0021311C"/>
    <w:rsid w:val="00226050"/>
    <w:rsid w:val="00240231"/>
    <w:rsid w:val="00244CDF"/>
    <w:rsid w:val="002753E3"/>
    <w:rsid w:val="00285E41"/>
    <w:rsid w:val="00291946"/>
    <w:rsid w:val="002935FF"/>
    <w:rsid w:val="002941D0"/>
    <w:rsid w:val="002B0157"/>
    <w:rsid w:val="002D237B"/>
    <w:rsid w:val="002D62F3"/>
    <w:rsid w:val="002D798A"/>
    <w:rsid w:val="002E48AD"/>
    <w:rsid w:val="002E72F7"/>
    <w:rsid w:val="00303D03"/>
    <w:rsid w:val="00353408"/>
    <w:rsid w:val="00356677"/>
    <w:rsid w:val="00371652"/>
    <w:rsid w:val="0039246C"/>
    <w:rsid w:val="003C1F62"/>
    <w:rsid w:val="003E019F"/>
    <w:rsid w:val="003E5D39"/>
    <w:rsid w:val="003F0A88"/>
    <w:rsid w:val="00404D63"/>
    <w:rsid w:val="0041345B"/>
    <w:rsid w:val="00423460"/>
    <w:rsid w:val="004570F6"/>
    <w:rsid w:val="00477245"/>
    <w:rsid w:val="0048314A"/>
    <w:rsid w:val="004A39F6"/>
    <w:rsid w:val="004A641E"/>
    <w:rsid w:val="004D4169"/>
    <w:rsid w:val="004E2096"/>
    <w:rsid w:val="004E2D20"/>
    <w:rsid w:val="00502E2F"/>
    <w:rsid w:val="005145DF"/>
    <w:rsid w:val="00517F41"/>
    <w:rsid w:val="005206E9"/>
    <w:rsid w:val="00554387"/>
    <w:rsid w:val="00565BFE"/>
    <w:rsid w:val="00570462"/>
    <w:rsid w:val="00572A33"/>
    <w:rsid w:val="00593D55"/>
    <w:rsid w:val="005A779B"/>
    <w:rsid w:val="005B010C"/>
    <w:rsid w:val="005C50A6"/>
    <w:rsid w:val="005D67A9"/>
    <w:rsid w:val="005E1AB2"/>
    <w:rsid w:val="00621BEF"/>
    <w:rsid w:val="00623420"/>
    <w:rsid w:val="006258C8"/>
    <w:rsid w:val="00631124"/>
    <w:rsid w:val="0064002B"/>
    <w:rsid w:val="00654BF8"/>
    <w:rsid w:val="00655A2A"/>
    <w:rsid w:val="00657B2D"/>
    <w:rsid w:val="00663D69"/>
    <w:rsid w:val="0067212C"/>
    <w:rsid w:val="006727E3"/>
    <w:rsid w:val="006B2DAE"/>
    <w:rsid w:val="006C1454"/>
    <w:rsid w:val="006D2F61"/>
    <w:rsid w:val="006D7AB0"/>
    <w:rsid w:val="006E31C9"/>
    <w:rsid w:val="006E322C"/>
    <w:rsid w:val="006E5896"/>
    <w:rsid w:val="006E644D"/>
    <w:rsid w:val="007146FC"/>
    <w:rsid w:val="007173A4"/>
    <w:rsid w:val="00735C81"/>
    <w:rsid w:val="00735D09"/>
    <w:rsid w:val="00741885"/>
    <w:rsid w:val="00751DA8"/>
    <w:rsid w:val="00752E49"/>
    <w:rsid w:val="007548D0"/>
    <w:rsid w:val="00762207"/>
    <w:rsid w:val="00771F95"/>
    <w:rsid w:val="00786A0E"/>
    <w:rsid w:val="007A7F1B"/>
    <w:rsid w:val="007B0326"/>
    <w:rsid w:val="007B54A9"/>
    <w:rsid w:val="007C722C"/>
    <w:rsid w:val="007F5773"/>
    <w:rsid w:val="00803BBC"/>
    <w:rsid w:val="00831459"/>
    <w:rsid w:val="00836A2C"/>
    <w:rsid w:val="008379C8"/>
    <w:rsid w:val="0084789B"/>
    <w:rsid w:val="008502E6"/>
    <w:rsid w:val="0086356A"/>
    <w:rsid w:val="008635B8"/>
    <w:rsid w:val="0087575C"/>
    <w:rsid w:val="008B5556"/>
    <w:rsid w:val="008C0AC5"/>
    <w:rsid w:val="008C1C04"/>
    <w:rsid w:val="008D4856"/>
    <w:rsid w:val="008E4550"/>
    <w:rsid w:val="008E74D3"/>
    <w:rsid w:val="008F679A"/>
    <w:rsid w:val="008F6A36"/>
    <w:rsid w:val="0090721C"/>
    <w:rsid w:val="0091208B"/>
    <w:rsid w:val="00912533"/>
    <w:rsid w:val="00934E8E"/>
    <w:rsid w:val="00940CF5"/>
    <w:rsid w:val="00943734"/>
    <w:rsid w:val="00951AC6"/>
    <w:rsid w:val="0098483F"/>
    <w:rsid w:val="009B70AE"/>
    <w:rsid w:val="009D0B0C"/>
    <w:rsid w:val="009E434B"/>
    <w:rsid w:val="009F7269"/>
    <w:rsid w:val="00A168E7"/>
    <w:rsid w:val="00A25065"/>
    <w:rsid w:val="00A26E38"/>
    <w:rsid w:val="00A341FB"/>
    <w:rsid w:val="00A354CA"/>
    <w:rsid w:val="00A430FB"/>
    <w:rsid w:val="00A86E48"/>
    <w:rsid w:val="00AB5F7A"/>
    <w:rsid w:val="00AD7A9A"/>
    <w:rsid w:val="00AE567E"/>
    <w:rsid w:val="00B01F5E"/>
    <w:rsid w:val="00B051B5"/>
    <w:rsid w:val="00B0708B"/>
    <w:rsid w:val="00B10080"/>
    <w:rsid w:val="00B1220B"/>
    <w:rsid w:val="00B226D7"/>
    <w:rsid w:val="00B33103"/>
    <w:rsid w:val="00B501FE"/>
    <w:rsid w:val="00B70969"/>
    <w:rsid w:val="00B7115F"/>
    <w:rsid w:val="00BA55F9"/>
    <w:rsid w:val="00BF327B"/>
    <w:rsid w:val="00C11FFD"/>
    <w:rsid w:val="00C21B8B"/>
    <w:rsid w:val="00C27BB3"/>
    <w:rsid w:val="00C40339"/>
    <w:rsid w:val="00C40D36"/>
    <w:rsid w:val="00C46B92"/>
    <w:rsid w:val="00C564DE"/>
    <w:rsid w:val="00C57402"/>
    <w:rsid w:val="00C66DC2"/>
    <w:rsid w:val="00C66DFA"/>
    <w:rsid w:val="00C72AA4"/>
    <w:rsid w:val="00C80396"/>
    <w:rsid w:val="00C90F78"/>
    <w:rsid w:val="00C94CCD"/>
    <w:rsid w:val="00CA3C85"/>
    <w:rsid w:val="00CB2EE7"/>
    <w:rsid w:val="00CB4AC9"/>
    <w:rsid w:val="00CC6089"/>
    <w:rsid w:val="00CE1CB7"/>
    <w:rsid w:val="00CE4361"/>
    <w:rsid w:val="00CE5612"/>
    <w:rsid w:val="00CE677A"/>
    <w:rsid w:val="00D03EB8"/>
    <w:rsid w:val="00D16511"/>
    <w:rsid w:val="00D20C69"/>
    <w:rsid w:val="00D41754"/>
    <w:rsid w:val="00D42102"/>
    <w:rsid w:val="00D546BF"/>
    <w:rsid w:val="00D65289"/>
    <w:rsid w:val="00D67AC6"/>
    <w:rsid w:val="00D81E9E"/>
    <w:rsid w:val="00D913A2"/>
    <w:rsid w:val="00DB6529"/>
    <w:rsid w:val="00DC1997"/>
    <w:rsid w:val="00DC5CFE"/>
    <w:rsid w:val="00E01FBA"/>
    <w:rsid w:val="00E02720"/>
    <w:rsid w:val="00E0651B"/>
    <w:rsid w:val="00E173D1"/>
    <w:rsid w:val="00E221B2"/>
    <w:rsid w:val="00E23C1A"/>
    <w:rsid w:val="00E24A1C"/>
    <w:rsid w:val="00E54067"/>
    <w:rsid w:val="00E63D68"/>
    <w:rsid w:val="00E64635"/>
    <w:rsid w:val="00E72324"/>
    <w:rsid w:val="00E85E0C"/>
    <w:rsid w:val="00E907CE"/>
    <w:rsid w:val="00EE0ED2"/>
    <w:rsid w:val="00EE363C"/>
    <w:rsid w:val="00EE5AA3"/>
    <w:rsid w:val="00EF722E"/>
    <w:rsid w:val="00F07197"/>
    <w:rsid w:val="00F11BE8"/>
    <w:rsid w:val="00F14D38"/>
    <w:rsid w:val="00F2592A"/>
    <w:rsid w:val="00F27254"/>
    <w:rsid w:val="00F417C2"/>
    <w:rsid w:val="00F57BB4"/>
    <w:rsid w:val="00F65F9B"/>
    <w:rsid w:val="00F728FC"/>
    <w:rsid w:val="00F82F6D"/>
    <w:rsid w:val="00FA1C63"/>
    <w:rsid w:val="00FA63DD"/>
    <w:rsid w:val="00FD3565"/>
    <w:rsid w:val="00FE00DB"/>
    <w:rsid w:val="00FE2EE3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D9254"/>
  <w15:chartTrackingRefBased/>
  <w15:docId w15:val="{CD663479-265C-7E4B-86BB-E5DDF99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D'Anniballe</dc:creator>
  <cp:keywords/>
  <dc:description/>
  <cp:lastModifiedBy>Vincent D'Anniballe</cp:lastModifiedBy>
  <cp:revision>1</cp:revision>
  <dcterms:created xsi:type="dcterms:W3CDTF">2021-04-22T14:05:00Z</dcterms:created>
  <dcterms:modified xsi:type="dcterms:W3CDTF">2021-04-22T14:06:00Z</dcterms:modified>
</cp:coreProperties>
</file>