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9D" w:rsidRDefault="00A8699D" w:rsidP="00A8699D">
      <w:pPr>
        <w:spacing w:after="0" w:line="480" w:lineRule="auto"/>
        <w:rPr>
          <w:rFonts w:ascii="Times New Roman" w:eastAsia="Times New Roman" w:hAnsi="Times New Roman" w:cs="Times New Roman"/>
          <w:sz w:val="24"/>
          <w:szCs w:val="24"/>
        </w:rPr>
      </w:pPr>
      <w:r w:rsidRPr="00A8699D">
        <w:rPr>
          <w:rFonts w:ascii="Times New Roman" w:eastAsia="Times New Roman" w:hAnsi="Times New Roman" w:cs="Times New Roman"/>
          <w:sz w:val="24"/>
          <w:szCs w:val="24"/>
        </w:rPr>
        <w:t xml:space="preserve">The Kaplan-Meier survivor functions in the figure below illustrate that the CLABSI and sepsis cohorts were neither substantively nor statistically different from one another and this was similar for the survivor functions of VAP and pneumonia. </w:t>
      </w:r>
      <w:r>
        <w:rPr>
          <w:rFonts w:ascii="Times New Roman" w:eastAsia="Times New Roman" w:hAnsi="Times New Roman" w:cs="Times New Roman"/>
          <w:sz w:val="24"/>
          <w:szCs w:val="24"/>
        </w:rPr>
        <w:t>Table 1</w:t>
      </w:r>
      <w:r w:rsidRPr="00A8699D">
        <w:rPr>
          <w:rFonts w:ascii="Times New Roman" w:eastAsia="Times New Roman" w:hAnsi="Times New Roman" w:cs="Times New Roman"/>
          <w:sz w:val="24"/>
          <w:szCs w:val="24"/>
        </w:rPr>
        <w:t xml:space="preserve"> </w:t>
      </w:r>
      <w:proofErr w:type="gramStart"/>
      <w:r w:rsidRPr="00A8699D">
        <w:rPr>
          <w:rFonts w:ascii="Times New Roman" w:eastAsia="Times New Roman" w:hAnsi="Times New Roman" w:cs="Times New Roman"/>
          <w:sz w:val="24"/>
          <w:szCs w:val="24"/>
        </w:rPr>
        <w:t>shows</w:t>
      </w:r>
      <w:proofErr w:type="gramEnd"/>
      <w:r w:rsidRPr="00A8699D">
        <w:rPr>
          <w:rFonts w:ascii="Times New Roman" w:eastAsia="Times New Roman" w:hAnsi="Times New Roman" w:cs="Times New Roman"/>
          <w:sz w:val="24"/>
          <w:szCs w:val="24"/>
        </w:rPr>
        <w:t xml:space="preserve"> that the relationships between CLABSI and VAP and healthcare utilization were not as pronounced as sepsis and pneumonia for most utilization categories. However, those with CLABSI did have greater use of LTC and those with VAP had greater use of HC (see Table 2). In both of these instances, the relationships persisted after controlling for utilization related to mortality. </w:t>
      </w:r>
    </w:p>
    <w:p w:rsidR="00A8699D" w:rsidRPr="00A8699D" w:rsidRDefault="00A8699D" w:rsidP="00A86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w:t>
      </w:r>
      <w:r w:rsidRPr="00A8699D">
        <w:rPr>
          <w:rFonts w:ascii="Times New Roman" w:eastAsia="Times New Roman" w:hAnsi="Times New Roman" w:cs="Times New Roman"/>
          <w:b/>
          <w:sz w:val="24"/>
          <w:szCs w:val="24"/>
        </w:rPr>
        <w:t xml:space="preserve"> Full Results of Kaplan-Meier Survivor Functions, including CLABSI and VAP</w:t>
      </w:r>
    </w:p>
    <w:p w:rsidR="00A8699D" w:rsidRPr="00A8699D" w:rsidRDefault="00A8699D" w:rsidP="00A8699D">
      <w:pPr>
        <w:spacing w:after="0" w:line="240" w:lineRule="auto"/>
        <w:rPr>
          <w:rFonts w:ascii="Times New Roman" w:eastAsia="Times New Roman" w:hAnsi="Times New Roman" w:cs="Times New Roman"/>
          <w:sz w:val="24"/>
          <w:szCs w:val="24"/>
        </w:rPr>
      </w:pPr>
      <w:r w:rsidRPr="00A8699D">
        <w:rPr>
          <w:rFonts w:ascii="Times New Roman" w:eastAsia="Times New Roman" w:hAnsi="Times New Roman" w:cs="Times New Roman"/>
          <w:noProof/>
          <w:sz w:val="24"/>
          <w:szCs w:val="24"/>
        </w:rPr>
        <w:drawing>
          <wp:inline distT="0" distB="0" distL="0" distR="0">
            <wp:extent cx="5486400" cy="3990109"/>
            <wp:effectExtent l="0" t="0" r="0" b="0"/>
            <wp:docPr id="1" name="Picture 1" descr="cid:image001.png@01CC93CE.EBBE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93CE.EBBE87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86400" cy="3990109"/>
                    </a:xfrm>
                    <a:prstGeom prst="rect">
                      <a:avLst/>
                    </a:prstGeom>
                    <a:noFill/>
                    <a:ln>
                      <a:noFill/>
                    </a:ln>
                  </pic:spPr>
                </pic:pic>
              </a:graphicData>
            </a:graphic>
          </wp:inline>
        </w:drawing>
      </w:r>
    </w:p>
    <w:p w:rsidR="00A8699D" w:rsidRPr="00A8699D" w:rsidRDefault="00A8699D" w:rsidP="00A8699D">
      <w:pPr>
        <w:spacing w:after="0" w:line="480" w:lineRule="auto"/>
        <w:rPr>
          <w:rFonts w:ascii="Times New Roman" w:eastAsia="Times New Roman" w:hAnsi="Times New Roman" w:cs="Times New Roman"/>
          <w:sz w:val="24"/>
          <w:szCs w:val="24"/>
        </w:rPr>
      </w:pPr>
      <w:r w:rsidRPr="00A8699D">
        <w:rPr>
          <w:rFonts w:ascii="Times New Roman" w:eastAsia="Times New Roman" w:hAnsi="Times New Roman" w:cs="Times New Roman"/>
          <w:sz w:val="24"/>
          <w:szCs w:val="24"/>
        </w:rPr>
        <w:t xml:space="preserve">CLABSI – central-line associated blood stream infection </w:t>
      </w:r>
    </w:p>
    <w:p w:rsidR="00A8699D" w:rsidRPr="00A8699D" w:rsidRDefault="00A8699D" w:rsidP="00A8699D">
      <w:pPr>
        <w:spacing w:after="0" w:line="480" w:lineRule="auto"/>
        <w:rPr>
          <w:rFonts w:ascii="Times New Roman" w:eastAsia="Times New Roman" w:hAnsi="Times New Roman" w:cs="Times New Roman"/>
          <w:sz w:val="24"/>
          <w:szCs w:val="24"/>
        </w:rPr>
      </w:pPr>
      <w:r w:rsidRPr="00A8699D">
        <w:rPr>
          <w:rFonts w:ascii="Times New Roman" w:eastAsia="Times New Roman" w:hAnsi="Times New Roman" w:cs="Times New Roman"/>
          <w:sz w:val="24"/>
          <w:szCs w:val="24"/>
        </w:rPr>
        <w:t>VAP – ventilator associated pneumonia</w:t>
      </w:r>
    </w:p>
    <w:p w:rsidR="00A8699D" w:rsidRPr="00A8699D" w:rsidRDefault="00A8699D" w:rsidP="00A8699D">
      <w:pPr>
        <w:autoSpaceDE w:val="0"/>
        <w:autoSpaceDN w:val="0"/>
        <w:adjustRightInd w:val="0"/>
        <w:spacing w:after="0" w:line="480" w:lineRule="auto"/>
        <w:rPr>
          <w:rFonts w:ascii="Times New Roman" w:eastAsia="Times New Roman" w:hAnsi="Times New Roman" w:cs="Times New Roman"/>
          <w:sz w:val="24"/>
          <w:szCs w:val="24"/>
        </w:rPr>
      </w:pPr>
      <w:r w:rsidRPr="00A8699D">
        <w:rPr>
          <w:rFonts w:ascii="Times New Roman" w:eastAsia="Times New Roman" w:hAnsi="Times New Roman" w:cs="Times New Roman"/>
          <w:sz w:val="24"/>
          <w:szCs w:val="24"/>
        </w:rPr>
        <w:t xml:space="preserve">An overall log-rank test showed that the survivor functions differed </w:t>
      </w:r>
      <w:r w:rsidR="00C65C7A">
        <w:rPr>
          <w:rFonts w:ascii="Times New Roman" w:eastAsia="Times New Roman" w:hAnsi="Times New Roman" w:cs="Times New Roman"/>
          <w:sz w:val="24"/>
          <w:szCs w:val="24"/>
        </w:rPr>
        <w:t>across patient cohorts (P &lt; 0.0</w:t>
      </w:r>
      <w:r w:rsidRPr="00A8699D">
        <w:rPr>
          <w:rFonts w:ascii="Times New Roman" w:eastAsia="Times New Roman" w:hAnsi="Times New Roman" w:cs="Times New Roman"/>
          <w:sz w:val="24"/>
          <w:szCs w:val="24"/>
        </w:rPr>
        <w:t xml:space="preserve">1). The survivor function of the control group was also longer than each infection group (P &lt; </w:t>
      </w:r>
      <w:r w:rsidR="00C65C7A">
        <w:rPr>
          <w:rFonts w:ascii="Times New Roman" w:eastAsia="Times New Roman" w:hAnsi="Times New Roman" w:cs="Times New Roman"/>
          <w:sz w:val="24"/>
          <w:szCs w:val="24"/>
        </w:rPr>
        <w:lastRenderedPageBreak/>
        <w:t>0.0</w:t>
      </w:r>
      <w:r w:rsidRPr="00A8699D">
        <w:rPr>
          <w:rFonts w:ascii="Times New Roman" w:eastAsia="Times New Roman" w:hAnsi="Times New Roman" w:cs="Times New Roman"/>
          <w:sz w:val="24"/>
          <w:szCs w:val="24"/>
        </w:rPr>
        <w:t>1 for sepsis, pneumonia and CLABSI and P = 0.03 for the VAP group); however, there were no significant differences between infection groups at the 5% level.</w:t>
      </w:r>
    </w:p>
    <w:p w:rsidR="00A8699D" w:rsidRDefault="00A8699D" w:rsidP="005B3E91">
      <w:pPr>
        <w:spacing w:after="0" w:line="240" w:lineRule="auto"/>
        <w:rPr>
          <w:rFonts w:ascii="Times New Roman" w:eastAsia="Times New Roman" w:hAnsi="Times New Roman" w:cs="Times New Roman"/>
          <w:b/>
          <w:sz w:val="24"/>
          <w:szCs w:val="24"/>
        </w:rPr>
      </w:pPr>
    </w:p>
    <w:p w:rsidR="008E6FFE" w:rsidRDefault="008E6F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bookmarkStart w:id="0" w:name="_GoBack"/>
      <w:bookmarkEnd w:id="0"/>
    </w:p>
    <w:p w:rsidR="005B3E91" w:rsidRDefault="008E6FFE" w:rsidP="005B3E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Additional </w:t>
      </w:r>
      <w:r w:rsidR="00A8699D">
        <w:rPr>
          <w:rFonts w:ascii="Times New Roman" w:eastAsia="Times New Roman" w:hAnsi="Times New Roman" w:cs="Times New Roman"/>
          <w:b/>
          <w:sz w:val="24"/>
          <w:szCs w:val="24"/>
        </w:rPr>
        <w:t xml:space="preserve">Table 1 </w:t>
      </w:r>
      <w:r w:rsidR="005B3E91" w:rsidRPr="005B3E91">
        <w:rPr>
          <w:rFonts w:ascii="Times New Roman" w:eastAsia="Times New Roman" w:hAnsi="Times New Roman" w:cs="Times New Roman"/>
          <w:b/>
          <w:sz w:val="24"/>
          <w:szCs w:val="24"/>
        </w:rPr>
        <w:t xml:space="preserve">Full Results of Cox Proportional Hazard and Frailty Models, including CLABSI and VAP </w:t>
      </w:r>
    </w:p>
    <w:tbl>
      <w:tblPr>
        <w:tblW w:w="9908" w:type="dxa"/>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5"/>
        <w:gridCol w:w="1065"/>
        <w:gridCol w:w="1260"/>
        <w:gridCol w:w="1077"/>
        <w:gridCol w:w="993"/>
        <w:gridCol w:w="1260"/>
        <w:gridCol w:w="998"/>
      </w:tblGrid>
      <w:tr w:rsidR="00AC6FE2" w:rsidRPr="007A196A" w:rsidTr="00C930FD">
        <w:trPr>
          <w:trHeight w:val="300"/>
        </w:trPr>
        <w:tc>
          <w:tcPr>
            <w:tcW w:w="3255" w:type="dxa"/>
            <w:tcBorders>
              <w:top w:val="nil"/>
              <w:left w:val="nil"/>
              <w:bottom w:val="nil"/>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3402" w:type="dxa"/>
            <w:gridSpan w:val="3"/>
            <w:tcBorders>
              <w:top w:val="nil"/>
              <w:bottom w:val="nil"/>
            </w:tcBorders>
            <w:shd w:val="clear" w:color="auto" w:fill="auto"/>
            <w:noWrap/>
            <w:vAlign w:val="bottom"/>
            <w:hideMark/>
          </w:tcPr>
          <w:p w:rsidR="00AC6FE2" w:rsidRPr="007A196A" w:rsidRDefault="00AC6FE2" w:rsidP="00AC6FE2">
            <w:pPr>
              <w:spacing w:after="0" w:line="240" w:lineRule="auto"/>
              <w:jc w:val="center"/>
              <w:rPr>
                <w:rFonts w:ascii="Arial" w:hAnsi="Arial" w:cs="Arial"/>
                <w:b/>
                <w:bCs/>
                <w:sz w:val="20"/>
                <w:szCs w:val="20"/>
              </w:rPr>
            </w:pPr>
            <w:r w:rsidRPr="007A196A">
              <w:rPr>
                <w:rFonts w:ascii="Arial" w:hAnsi="Arial" w:cs="Arial"/>
                <w:b/>
                <w:bCs/>
                <w:sz w:val="20"/>
                <w:szCs w:val="20"/>
              </w:rPr>
              <w:t>Cox Proportional Hazard Model</w:t>
            </w:r>
          </w:p>
        </w:tc>
        <w:tc>
          <w:tcPr>
            <w:tcW w:w="3251" w:type="dxa"/>
            <w:gridSpan w:val="3"/>
            <w:tcBorders>
              <w:top w:val="nil"/>
              <w:bottom w:val="nil"/>
              <w:right w:val="nil"/>
            </w:tcBorders>
            <w:shd w:val="clear" w:color="auto" w:fill="auto"/>
            <w:noWrap/>
            <w:vAlign w:val="bottom"/>
            <w:hideMark/>
          </w:tcPr>
          <w:p w:rsidR="00AC6FE2" w:rsidRPr="007A196A" w:rsidRDefault="00AC6FE2" w:rsidP="00AC6FE2">
            <w:pPr>
              <w:spacing w:after="0" w:line="240" w:lineRule="auto"/>
              <w:jc w:val="center"/>
              <w:rPr>
                <w:rFonts w:ascii="Arial" w:hAnsi="Arial" w:cs="Arial"/>
                <w:b/>
                <w:bCs/>
                <w:sz w:val="20"/>
                <w:szCs w:val="20"/>
              </w:rPr>
            </w:pPr>
            <w:proofErr w:type="spellStart"/>
            <w:r w:rsidRPr="007A196A">
              <w:rPr>
                <w:rFonts w:ascii="Arial" w:hAnsi="Arial" w:cs="Arial"/>
                <w:b/>
                <w:bCs/>
                <w:sz w:val="20"/>
                <w:szCs w:val="20"/>
              </w:rPr>
              <w:t>Weibull</w:t>
            </w:r>
            <w:proofErr w:type="spellEnd"/>
            <w:r w:rsidRPr="007A196A">
              <w:rPr>
                <w:rFonts w:ascii="Arial" w:hAnsi="Arial" w:cs="Arial"/>
                <w:b/>
                <w:bCs/>
                <w:sz w:val="20"/>
                <w:szCs w:val="20"/>
              </w:rPr>
              <w:t xml:space="preserve"> Model</w:t>
            </w:r>
          </w:p>
        </w:tc>
      </w:tr>
      <w:tr w:rsidR="00AC6FE2" w:rsidRPr="007A196A" w:rsidTr="00C930FD">
        <w:trPr>
          <w:trHeight w:val="300"/>
        </w:trPr>
        <w:tc>
          <w:tcPr>
            <w:tcW w:w="3255" w:type="dxa"/>
            <w:tcBorders>
              <w:top w:val="nil"/>
              <w:left w:val="nil"/>
              <w:bottom w:val="single" w:sz="4" w:space="0" w:color="auto"/>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3402" w:type="dxa"/>
            <w:gridSpan w:val="3"/>
            <w:tcBorders>
              <w:top w:val="nil"/>
              <w:bottom w:val="single" w:sz="4" w:space="0" w:color="auto"/>
            </w:tcBorders>
            <w:shd w:val="clear" w:color="auto" w:fill="auto"/>
            <w:noWrap/>
            <w:vAlign w:val="bottom"/>
            <w:hideMark/>
          </w:tcPr>
          <w:p w:rsidR="00AC6FE2" w:rsidRPr="007A196A" w:rsidRDefault="00AC6FE2" w:rsidP="00AC6FE2">
            <w:pPr>
              <w:spacing w:after="0" w:line="240" w:lineRule="auto"/>
              <w:jc w:val="center"/>
              <w:rPr>
                <w:rFonts w:ascii="Arial" w:hAnsi="Arial" w:cs="Arial"/>
                <w:b/>
                <w:bCs/>
                <w:sz w:val="20"/>
                <w:szCs w:val="20"/>
              </w:rPr>
            </w:pPr>
            <w:r w:rsidRPr="007A196A">
              <w:rPr>
                <w:rFonts w:ascii="Arial" w:hAnsi="Arial" w:cs="Arial"/>
                <w:b/>
                <w:bCs/>
                <w:sz w:val="20"/>
                <w:szCs w:val="20"/>
              </w:rPr>
              <w:t>No Frailty</w:t>
            </w:r>
          </w:p>
        </w:tc>
        <w:tc>
          <w:tcPr>
            <w:tcW w:w="3251" w:type="dxa"/>
            <w:gridSpan w:val="3"/>
            <w:tcBorders>
              <w:top w:val="nil"/>
              <w:bottom w:val="single" w:sz="4" w:space="0" w:color="auto"/>
              <w:right w:val="nil"/>
            </w:tcBorders>
            <w:shd w:val="clear" w:color="auto" w:fill="auto"/>
            <w:noWrap/>
            <w:vAlign w:val="bottom"/>
            <w:hideMark/>
          </w:tcPr>
          <w:p w:rsidR="00AC6FE2" w:rsidRPr="007A196A" w:rsidRDefault="00AC6FE2" w:rsidP="00AC6FE2">
            <w:pPr>
              <w:spacing w:after="0" w:line="240" w:lineRule="auto"/>
              <w:jc w:val="center"/>
              <w:rPr>
                <w:rFonts w:ascii="Arial" w:hAnsi="Arial" w:cs="Arial"/>
                <w:b/>
                <w:bCs/>
                <w:sz w:val="20"/>
                <w:szCs w:val="20"/>
              </w:rPr>
            </w:pPr>
            <w:r w:rsidRPr="007A196A">
              <w:rPr>
                <w:rFonts w:ascii="Arial" w:hAnsi="Arial" w:cs="Arial"/>
                <w:b/>
                <w:bCs/>
                <w:sz w:val="20"/>
                <w:szCs w:val="20"/>
              </w:rPr>
              <w:t>Gamma Frailty</w:t>
            </w:r>
          </w:p>
        </w:tc>
      </w:tr>
      <w:tr w:rsidR="00AC6FE2" w:rsidRPr="007A196A" w:rsidTr="00C930FD">
        <w:trPr>
          <w:trHeight w:val="464"/>
        </w:trPr>
        <w:tc>
          <w:tcPr>
            <w:tcW w:w="3255" w:type="dxa"/>
            <w:vMerge w:val="restart"/>
            <w:tcBorders>
              <w:top w:val="single" w:sz="4" w:space="0" w:color="auto"/>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Variable</w:t>
            </w:r>
          </w:p>
        </w:tc>
        <w:tc>
          <w:tcPr>
            <w:tcW w:w="1065" w:type="dxa"/>
            <w:vMerge w:val="restart"/>
            <w:tcBorders>
              <w:top w:val="single" w:sz="4" w:space="0" w:color="auto"/>
              <w:bottom w:val="single" w:sz="4" w:space="0" w:color="auto"/>
            </w:tcBorders>
            <w:shd w:val="clear" w:color="auto" w:fill="auto"/>
            <w:vAlign w:val="center"/>
            <w:hideMark/>
          </w:tcPr>
          <w:p w:rsidR="00AC6FE2" w:rsidRPr="007A196A" w:rsidRDefault="00AC6FE2" w:rsidP="00AC6FE2">
            <w:pPr>
              <w:spacing w:after="0" w:line="240" w:lineRule="auto"/>
              <w:jc w:val="center"/>
              <w:rPr>
                <w:rFonts w:ascii="Arial" w:hAnsi="Arial" w:cs="Arial"/>
                <w:b/>
                <w:bCs/>
                <w:sz w:val="20"/>
                <w:szCs w:val="20"/>
              </w:rPr>
            </w:pPr>
            <w:r w:rsidRPr="007A196A">
              <w:rPr>
                <w:rFonts w:ascii="Arial" w:hAnsi="Arial" w:cs="Arial"/>
                <w:b/>
                <w:bCs/>
                <w:sz w:val="20"/>
                <w:szCs w:val="20"/>
              </w:rPr>
              <w:t>Hazard Ratio</w:t>
            </w:r>
          </w:p>
        </w:tc>
        <w:tc>
          <w:tcPr>
            <w:tcW w:w="1260" w:type="dxa"/>
            <w:vMerge w:val="restart"/>
            <w:tcBorders>
              <w:top w:val="single" w:sz="4" w:space="0" w:color="auto"/>
              <w:bottom w:val="single" w:sz="4" w:space="0" w:color="auto"/>
            </w:tcBorders>
            <w:shd w:val="clear" w:color="auto" w:fill="auto"/>
            <w:noWrap/>
            <w:vAlign w:val="center"/>
            <w:hideMark/>
          </w:tcPr>
          <w:p w:rsidR="00AC6FE2" w:rsidRPr="007A196A" w:rsidRDefault="00AC6FE2" w:rsidP="00AC6FE2">
            <w:pPr>
              <w:spacing w:after="0" w:line="240" w:lineRule="auto"/>
              <w:jc w:val="center"/>
              <w:rPr>
                <w:rFonts w:ascii="Arial" w:hAnsi="Arial" w:cs="Arial"/>
                <w:b/>
                <w:bCs/>
                <w:sz w:val="20"/>
                <w:szCs w:val="20"/>
              </w:rPr>
            </w:pPr>
            <w:r>
              <w:rPr>
                <w:rFonts w:ascii="Arial" w:hAnsi="Arial" w:cs="Arial"/>
                <w:b/>
                <w:bCs/>
                <w:sz w:val="20"/>
                <w:szCs w:val="20"/>
              </w:rPr>
              <w:t>95% CI</w:t>
            </w:r>
          </w:p>
        </w:tc>
        <w:tc>
          <w:tcPr>
            <w:tcW w:w="1077" w:type="dxa"/>
            <w:vMerge w:val="restart"/>
            <w:tcBorders>
              <w:top w:val="single" w:sz="4" w:space="0" w:color="auto"/>
              <w:bottom w:val="single" w:sz="4" w:space="0" w:color="auto"/>
            </w:tcBorders>
            <w:shd w:val="clear" w:color="auto" w:fill="auto"/>
            <w:noWrap/>
            <w:vAlign w:val="center"/>
            <w:hideMark/>
          </w:tcPr>
          <w:p w:rsidR="00AC6FE2" w:rsidRPr="007A196A" w:rsidRDefault="00AC6FE2" w:rsidP="00AC6FE2">
            <w:pPr>
              <w:spacing w:after="0" w:line="240" w:lineRule="auto"/>
              <w:jc w:val="center"/>
              <w:rPr>
                <w:rFonts w:ascii="Arial" w:hAnsi="Arial" w:cs="Arial"/>
                <w:b/>
                <w:bCs/>
                <w:sz w:val="20"/>
                <w:szCs w:val="20"/>
              </w:rPr>
            </w:pPr>
            <w:r w:rsidRPr="007A196A">
              <w:rPr>
                <w:rFonts w:ascii="Arial" w:hAnsi="Arial" w:cs="Arial"/>
                <w:b/>
                <w:bCs/>
                <w:sz w:val="20"/>
                <w:szCs w:val="20"/>
              </w:rPr>
              <w:t>P Value</w:t>
            </w:r>
          </w:p>
        </w:tc>
        <w:tc>
          <w:tcPr>
            <w:tcW w:w="993" w:type="dxa"/>
            <w:vMerge w:val="restart"/>
            <w:tcBorders>
              <w:top w:val="single" w:sz="4" w:space="0" w:color="auto"/>
              <w:bottom w:val="single" w:sz="4" w:space="0" w:color="auto"/>
            </w:tcBorders>
            <w:shd w:val="clear" w:color="auto" w:fill="auto"/>
            <w:vAlign w:val="center"/>
            <w:hideMark/>
          </w:tcPr>
          <w:p w:rsidR="00AC6FE2" w:rsidRPr="007A196A" w:rsidRDefault="00AC6FE2" w:rsidP="00AC6FE2">
            <w:pPr>
              <w:spacing w:after="0" w:line="240" w:lineRule="auto"/>
              <w:jc w:val="center"/>
              <w:rPr>
                <w:rFonts w:ascii="Arial" w:hAnsi="Arial" w:cs="Arial"/>
                <w:b/>
                <w:bCs/>
                <w:sz w:val="20"/>
                <w:szCs w:val="20"/>
              </w:rPr>
            </w:pPr>
            <w:r w:rsidRPr="007A196A">
              <w:rPr>
                <w:rFonts w:ascii="Arial" w:hAnsi="Arial" w:cs="Arial"/>
                <w:b/>
                <w:bCs/>
                <w:sz w:val="20"/>
                <w:szCs w:val="20"/>
              </w:rPr>
              <w:t>Hazard Ratio</w:t>
            </w:r>
          </w:p>
        </w:tc>
        <w:tc>
          <w:tcPr>
            <w:tcW w:w="1260" w:type="dxa"/>
            <w:vMerge w:val="restart"/>
            <w:tcBorders>
              <w:top w:val="single" w:sz="4" w:space="0" w:color="auto"/>
              <w:bottom w:val="single" w:sz="4" w:space="0" w:color="auto"/>
            </w:tcBorders>
            <w:shd w:val="clear" w:color="auto" w:fill="auto"/>
            <w:noWrap/>
            <w:vAlign w:val="center"/>
            <w:hideMark/>
          </w:tcPr>
          <w:p w:rsidR="00AC6FE2" w:rsidRPr="007A196A" w:rsidRDefault="00AC6FE2" w:rsidP="00AC6FE2">
            <w:pPr>
              <w:spacing w:after="0" w:line="240" w:lineRule="auto"/>
              <w:jc w:val="center"/>
              <w:rPr>
                <w:rFonts w:ascii="Arial" w:hAnsi="Arial" w:cs="Arial"/>
                <w:b/>
                <w:bCs/>
                <w:sz w:val="20"/>
                <w:szCs w:val="20"/>
              </w:rPr>
            </w:pPr>
            <w:r>
              <w:rPr>
                <w:rFonts w:ascii="Arial" w:hAnsi="Arial" w:cs="Arial"/>
                <w:b/>
                <w:bCs/>
                <w:sz w:val="20"/>
                <w:szCs w:val="20"/>
              </w:rPr>
              <w:t>95% CI</w:t>
            </w:r>
          </w:p>
        </w:tc>
        <w:tc>
          <w:tcPr>
            <w:tcW w:w="998" w:type="dxa"/>
            <w:vMerge w:val="restart"/>
            <w:tcBorders>
              <w:top w:val="single" w:sz="4" w:space="0" w:color="auto"/>
              <w:bottom w:val="single" w:sz="4" w:space="0" w:color="auto"/>
              <w:right w:val="nil"/>
            </w:tcBorders>
            <w:shd w:val="clear" w:color="auto" w:fill="auto"/>
            <w:noWrap/>
            <w:vAlign w:val="center"/>
            <w:hideMark/>
          </w:tcPr>
          <w:p w:rsidR="00AC6FE2" w:rsidRPr="007A196A" w:rsidRDefault="00AC6FE2" w:rsidP="00AC6FE2">
            <w:pPr>
              <w:spacing w:after="0" w:line="240" w:lineRule="auto"/>
              <w:jc w:val="center"/>
              <w:rPr>
                <w:rFonts w:ascii="Arial" w:hAnsi="Arial" w:cs="Arial"/>
                <w:b/>
                <w:bCs/>
                <w:sz w:val="20"/>
                <w:szCs w:val="20"/>
              </w:rPr>
            </w:pPr>
            <w:r w:rsidRPr="007A196A">
              <w:rPr>
                <w:rFonts w:ascii="Arial" w:hAnsi="Arial" w:cs="Arial"/>
                <w:b/>
                <w:bCs/>
                <w:sz w:val="20"/>
                <w:szCs w:val="20"/>
              </w:rPr>
              <w:t>P Value</w:t>
            </w:r>
          </w:p>
        </w:tc>
      </w:tr>
      <w:tr w:rsidR="00AC6FE2" w:rsidRPr="007A196A" w:rsidTr="00C930FD">
        <w:trPr>
          <w:trHeight w:val="464"/>
        </w:trPr>
        <w:tc>
          <w:tcPr>
            <w:tcW w:w="3255" w:type="dxa"/>
            <w:vMerge/>
            <w:tcBorders>
              <w:left w:val="nil"/>
            </w:tcBorders>
            <w:vAlign w:val="center"/>
            <w:hideMark/>
          </w:tcPr>
          <w:p w:rsidR="00AC6FE2" w:rsidRPr="007A196A" w:rsidRDefault="00AC6FE2" w:rsidP="00AC6FE2">
            <w:pPr>
              <w:spacing w:after="0" w:line="240" w:lineRule="auto"/>
              <w:rPr>
                <w:rFonts w:ascii="Arial" w:hAnsi="Arial" w:cs="Arial"/>
                <w:b/>
                <w:bCs/>
                <w:sz w:val="20"/>
                <w:szCs w:val="20"/>
              </w:rPr>
            </w:pPr>
          </w:p>
        </w:tc>
        <w:tc>
          <w:tcPr>
            <w:tcW w:w="1065" w:type="dxa"/>
            <w:vMerge/>
            <w:tcBorders>
              <w:top w:val="nil"/>
              <w:bottom w:val="single" w:sz="4" w:space="0" w:color="auto"/>
            </w:tcBorders>
            <w:vAlign w:val="center"/>
            <w:hideMark/>
          </w:tcPr>
          <w:p w:rsidR="00AC6FE2" w:rsidRPr="007A196A" w:rsidRDefault="00AC6FE2" w:rsidP="00AC6FE2">
            <w:pPr>
              <w:spacing w:after="0" w:line="240" w:lineRule="auto"/>
              <w:rPr>
                <w:rFonts w:ascii="Arial" w:hAnsi="Arial" w:cs="Arial"/>
                <w:b/>
                <w:bCs/>
                <w:sz w:val="20"/>
                <w:szCs w:val="20"/>
              </w:rPr>
            </w:pPr>
          </w:p>
        </w:tc>
        <w:tc>
          <w:tcPr>
            <w:tcW w:w="1260" w:type="dxa"/>
            <w:vMerge/>
            <w:tcBorders>
              <w:top w:val="nil"/>
              <w:bottom w:val="single" w:sz="4" w:space="0" w:color="auto"/>
            </w:tcBorders>
            <w:vAlign w:val="center"/>
            <w:hideMark/>
          </w:tcPr>
          <w:p w:rsidR="00AC6FE2" w:rsidRPr="007A196A" w:rsidRDefault="00AC6FE2" w:rsidP="00AC6FE2">
            <w:pPr>
              <w:spacing w:after="0" w:line="240" w:lineRule="auto"/>
              <w:rPr>
                <w:rFonts w:ascii="Arial" w:hAnsi="Arial" w:cs="Arial"/>
                <w:b/>
                <w:bCs/>
                <w:sz w:val="20"/>
                <w:szCs w:val="20"/>
              </w:rPr>
            </w:pPr>
          </w:p>
        </w:tc>
        <w:tc>
          <w:tcPr>
            <w:tcW w:w="1077" w:type="dxa"/>
            <w:vMerge/>
            <w:tcBorders>
              <w:top w:val="nil"/>
              <w:bottom w:val="single" w:sz="4" w:space="0" w:color="auto"/>
            </w:tcBorders>
            <w:vAlign w:val="center"/>
            <w:hideMark/>
          </w:tcPr>
          <w:p w:rsidR="00AC6FE2" w:rsidRPr="007A196A" w:rsidRDefault="00AC6FE2" w:rsidP="00AC6FE2">
            <w:pPr>
              <w:spacing w:after="0" w:line="240" w:lineRule="auto"/>
              <w:rPr>
                <w:rFonts w:ascii="Arial" w:hAnsi="Arial" w:cs="Arial"/>
                <w:b/>
                <w:bCs/>
                <w:sz w:val="20"/>
                <w:szCs w:val="20"/>
              </w:rPr>
            </w:pPr>
          </w:p>
        </w:tc>
        <w:tc>
          <w:tcPr>
            <w:tcW w:w="993" w:type="dxa"/>
            <w:vMerge/>
            <w:tcBorders>
              <w:top w:val="nil"/>
              <w:bottom w:val="single" w:sz="4" w:space="0" w:color="auto"/>
            </w:tcBorders>
            <w:vAlign w:val="center"/>
            <w:hideMark/>
          </w:tcPr>
          <w:p w:rsidR="00AC6FE2" w:rsidRPr="007A196A" w:rsidRDefault="00AC6FE2" w:rsidP="00AC6FE2">
            <w:pPr>
              <w:spacing w:after="0" w:line="240" w:lineRule="auto"/>
              <w:rPr>
                <w:rFonts w:ascii="Arial" w:hAnsi="Arial" w:cs="Arial"/>
                <w:b/>
                <w:bCs/>
                <w:sz w:val="20"/>
                <w:szCs w:val="20"/>
              </w:rPr>
            </w:pPr>
          </w:p>
        </w:tc>
        <w:tc>
          <w:tcPr>
            <w:tcW w:w="1260" w:type="dxa"/>
            <w:vMerge/>
            <w:tcBorders>
              <w:top w:val="nil"/>
              <w:bottom w:val="single" w:sz="4" w:space="0" w:color="auto"/>
            </w:tcBorders>
            <w:vAlign w:val="center"/>
            <w:hideMark/>
          </w:tcPr>
          <w:p w:rsidR="00AC6FE2" w:rsidRPr="007A196A" w:rsidRDefault="00AC6FE2" w:rsidP="00AC6FE2">
            <w:pPr>
              <w:spacing w:after="0" w:line="240" w:lineRule="auto"/>
              <w:rPr>
                <w:rFonts w:ascii="Arial" w:hAnsi="Arial" w:cs="Arial"/>
                <w:b/>
                <w:bCs/>
                <w:sz w:val="20"/>
                <w:szCs w:val="20"/>
              </w:rPr>
            </w:pPr>
          </w:p>
        </w:tc>
        <w:tc>
          <w:tcPr>
            <w:tcW w:w="998" w:type="dxa"/>
            <w:vMerge/>
            <w:tcBorders>
              <w:top w:val="nil"/>
              <w:bottom w:val="single" w:sz="4" w:space="0" w:color="auto"/>
              <w:right w:val="nil"/>
            </w:tcBorders>
            <w:vAlign w:val="center"/>
            <w:hideMark/>
          </w:tcPr>
          <w:p w:rsidR="00AC6FE2" w:rsidRPr="007A196A" w:rsidRDefault="00AC6FE2" w:rsidP="00AC6FE2">
            <w:pPr>
              <w:spacing w:after="0" w:line="240" w:lineRule="auto"/>
              <w:rPr>
                <w:rFonts w:ascii="Arial" w:hAnsi="Arial" w:cs="Arial"/>
                <w:b/>
                <w:bCs/>
                <w:sz w:val="20"/>
                <w:szCs w:val="20"/>
              </w:rPr>
            </w:pPr>
          </w:p>
        </w:tc>
      </w:tr>
      <w:tr w:rsidR="00AC6FE2" w:rsidRPr="007A196A" w:rsidTr="00C930FD">
        <w:trPr>
          <w:trHeight w:val="255"/>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Infection (reference = No Infection)</w:t>
            </w:r>
          </w:p>
        </w:tc>
        <w:tc>
          <w:tcPr>
            <w:tcW w:w="1065" w:type="dxa"/>
            <w:tcBorders>
              <w:top w:val="single" w:sz="4" w:space="0" w:color="auto"/>
            </w:tcBorders>
            <w:shd w:val="clear" w:color="auto" w:fill="auto"/>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tcBorders>
              <w:top w:val="single" w:sz="4" w:space="0" w:color="auto"/>
            </w:tcBorders>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077" w:type="dxa"/>
            <w:tcBorders>
              <w:top w:val="single" w:sz="4" w:space="0" w:color="auto"/>
            </w:tcBorders>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993" w:type="dxa"/>
            <w:tcBorders>
              <w:top w:val="single" w:sz="4" w:space="0" w:color="auto"/>
            </w:tcBorders>
            <w:shd w:val="clear" w:color="auto" w:fill="auto"/>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tcBorders>
              <w:top w:val="single" w:sz="4" w:space="0" w:color="auto"/>
            </w:tcBorders>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998" w:type="dxa"/>
            <w:tcBorders>
              <w:top w:val="single" w:sz="4" w:space="0" w:color="auto"/>
              <w:right w:val="nil"/>
            </w:tcBorders>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Pr>
                <w:rFonts w:ascii="Arial" w:hAnsi="Arial" w:cs="Arial"/>
                <w:b/>
                <w:bCs/>
                <w:sz w:val="20"/>
                <w:szCs w:val="20"/>
              </w:rPr>
              <w:t>CLABSI</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1.66</w:t>
            </w:r>
          </w:p>
        </w:tc>
        <w:tc>
          <w:tcPr>
            <w:tcW w:w="1260" w:type="dxa"/>
            <w:shd w:val="clear" w:color="auto" w:fill="auto"/>
            <w:noWrap/>
            <w:vAlign w:val="center"/>
          </w:tcPr>
          <w:p w:rsidR="00AC6FE2" w:rsidRDefault="00AC6FE2" w:rsidP="00AC6FE2">
            <w:pPr>
              <w:spacing w:after="0" w:line="240" w:lineRule="auto"/>
              <w:jc w:val="center"/>
              <w:rPr>
                <w:rFonts w:ascii="Arial" w:hAnsi="Arial" w:cs="Arial"/>
                <w:sz w:val="20"/>
                <w:szCs w:val="20"/>
              </w:rPr>
            </w:pPr>
            <w:r>
              <w:rPr>
                <w:rFonts w:ascii="Arial" w:hAnsi="Arial" w:cs="Arial"/>
                <w:sz w:val="20"/>
                <w:szCs w:val="20"/>
              </w:rPr>
              <w:t>0.91-3.01</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0.10</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1.67</w:t>
            </w:r>
          </w:p>
        </w:tc>
        <w:tc>
          <w:tcPr>
            <w:tcW w:w="1260" w:type="dxa"/>
            <w:shd w:val="clear" w:color="auto" w:fill="auto"/>
            <w:noWrap/>
            <w:vAlign w:val="center"/>
          </w:tcPr>
          <w:p w:rsidR="00AC6FE2" w:rsidRDefault="00AC6FE2" w:rsidP="00AC6FE2">
            <w:pPr>
              <w:spacing w:after="0" w:line="240" w:lineRule="auto"/>
              <w:jc w:val="center"/>
              <w:rPr>
                <w:rFonts w:ascii="Arial" w:hAnsi="Arial" w:cs="Arial"/>
                <w:sz w:val="20"/>
                <w:szCs w:val="20"/>
              </w:rPr>
            </w:pPr>
            <w:r>
              <w:rPr>
                <w:rFonts w:ascii="Arial" w:hAnsi="Arial" w:cs="Arial"/>
                <w:sz w:val="20"/>
                <w:szCs w:val="20"/>
              </w:rPr>
              <w:t>0.92-3.04</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0.09</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Pr>
                <w:rFonts w:ascii="Arial" w:hAnsi="Arial" w:cs="Arial"/>
                <w:b/>
                <w:bCs/>
                <w:sz w:val="20"/>
                <w:szCs w:val="20"/>
              </w:rPr>
              <w:t>VAP</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1.65</w:t>
            </w:r>
          </w:p>
        </w:tc>
        <w:tc>
          <w:tcPr>
            <w:tcW w:w="1260" w:type="dxa"/>
            <w:shd w:val="clear" w:color="auto" w:fill="auto"/>
            <w:noWrap/>
            <w:vAlign w:val="center"/>
          </w:tcPr>
          <w:p w:rsidR="00AC6FE2" w:rsidRDefault="00AC6FE2" w:rsidP="00AC6FE2">
            <w:pPr>
              <w:spacing w:after="0" w:line="240" w:lineRule="auto"/>
              <w:jc w:val="center"/>
              <w:rPr>
                <w:rFonts w:ascii="Arial" w:hAnsi="Arial" w:cs="Arial"/>
                <w:sz w:val="20"/>
                <w:szCs w:val="20"/>
              </w:rPr>
            </w:pPr>
            <w:r>
              <w:rPr>
                <w:rFonts w:ascii="Arial" w:hAnsi="Arial" w:cs="Arial"/>
                <w:sz w:val="20"/>
                <w:szCs w:val="20"/>
              </w:rPr>
              <w:t>1.15-2.35</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0.01</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1.66</w:t>
            </w:r>
          </w:p>
        </w:tc>
        <w:tc>
          <w:tcPr>
            <w:tcW w:w="1260" w:type="dxa"/>
            <w:shd w:val="clear" w:color="auto" w:fill="auto"/>
            <w:noWrap/>
            <w:vAlign w:val="center"/>
          </w:tcPr>
          <w:p w:rsidR="00AC6FE2" w:rsidRDefault="00AC6FE2" w:rsidP="00AC6FE2">
            <w:pPr>
              <w:spacing w:after="0" w:line="240" w:lineRule="auto"/>
              <w:jc w:val="center"/>
              <w:rPr>
                <w:rFonts w:ascii="Arial" w:hAnsi="Arial" w:cs="Arial"/>
                <w:sz w:val="20"/>
                <w:szCs w:val="20"/>
              </w:rPr>
            </w:pPr>
            <w:r>
              <w:rPr>
                <w:rFonts w:ascii="Arial" w:hAnsi="Arial" w:cs="Arial"/>
                <w:sz w:val="20"/>
                <w:szCs w:val="20"/>
              </w:rPr>
              <w:t>1.17-2.37</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0.01</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Pr>
                <w:rFonts w:ascii="Arial" w:hAnsi="Arial" w:cs="Arial"/>
                <w:b/>
                <w:bCs/>
                <w:sz w:val="20"/>
                <w:szCs w:val="20"/>
              </w:rPr>
              <w:t>CLABSI &amp; VAP</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0.39</w:t>
            </w:r>
          </w:p>
        </w:tc>
        <w:tc>
          <w:tcPr>
            <w:tcW w:w="1260" w:type="dxa"/>
            <w:shd w:val="clear" w:color="auto" w:fill="auto"/>
            <w:noWrap/>
            <w:vAlign w:val="center"/>
          </w:tcPr>
          <w:p w:rsidR="00AC6FE2" w:rsidRDefault="00AC6FE2" w:rsidP="00AC6FE2">
            <w:pPr>
              <w:spacing w:after="0" w:line="240" w:lineRule="auto"/>
              <w:jc w:val="center"/>
              <w:rPr>
                <w:rFonts w:ascii="Arial" w:hAnsi="Arial" w:cs="Arial"/>
                <w:sz w:val="20"/>
                <w:szCs w:val="20"/>
              </w:rPr>
            </w:pPr>
            <w:r>
              <w:rPr>
                <w:rFonts w:ascii="Arial" w:hAnsi="Arial" w:cs="Arial"/>
                <w:sz w:val="20"/>
                <w:szCs w:val="20"/>
              </w:rPr>
              <w:t>0.13-1.15</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0.09</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0.38</w:t>
            </w:r>
          </w:p>
        </w:tc>
        <w:tc>
          <w:tcPr>
            <w:tcW w:w="1260" w:type="dxa"/>
            <w:shd w:val="clear" w:color="auto" w:fill="auto"/>
            <w:noWrap/>
            <w:vAlign w:val="center"/>
          </w:tcPr>
          <w:p w:rsidR="00AC6FE2" w:rsidRDefault="00AC6FE2" w:rsidP="00AC6FE2">
            <w:pPr>
              <w:spacing w:after="0" w:line="240" w:lineRule="auto"/>
              <w:jc w:val="center"/>
              <w:rPr>
                <w:rFonts w:ascii="Arial" w:hAnsi="Arial" w:cs="Arial"/>
                <w:sz w:val="20"/>
                <w:szCs w:val="20"/>
              </w:rPr>
            </w:pPr>
            <w:r>
              <w:rPr>
                <w:rFonts w:ascii="Arial" w:hAnsi="Arial" w:cs="Arial"/>
                <w:sz w:val="20"/>
                <w:szCs w:val="20"/>
              </w:rPr>
              <w:t>0.13-1.15</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0.09</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Sepsis</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1.36</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1.20-1.54</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w:t>
            </w:r>
            <w:r>
              <w:rPr>
                <w:rFonts w:ascii="Arial" w:hAnsi="Arial" w:cs="Arial"/>
                <w:sz w:val="20"/>
                <w:szCs w:val="20"/>
              </w:rPr>
              <w:t>1</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1.39</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1.22-1.59</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&lt;0.01</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Sepsis x Year 1</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1.21</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1.04-1.42</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0.0</w:t>
            </w:r>
            <w:r>
              <w:rPr>
                <w:rFonts w:ascii="Arial" w:hAnsi="Arial" w:cs="Arial"/>
                <w:sz w:val="20"/>
                <w:szCs w:val="20"/>
              </w:rPr>
              <w:t>2</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1.17</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1.00-1.37</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0.0</w:t>
            </w:r>
            <w:r>
              <w:rPr>
                <w:rFonts w:ascii="Arial" w:hAnsi="Arial" w:cs="Arial"/>
                <w:sz w:val="20"/>
                <w:szCs w:val="20"/>
              </w:rPr>
              <w:t>5</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Pneumonia</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1.55</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1.42-1.70</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&lt;0.01</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1.58</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1.42-1.76</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&lt;0.01</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Pneumonia x Year 1</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1.15</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1.02-1.30</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0.02</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1.11</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0.98-1.25</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0.11</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Sepsis &amp; Pneumonia</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0.66</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0.55-0.80</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&lt;0.01</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0.66</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0.55-0.80</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&lt;0.01</w:t>
            </w:r>
          </w:p>
        </w:tc>
      </w:tr>
      <w:tr w:rsidR="00AC6FE2" w:rsidRPr="007A196A" w:rsidTr="00C930FD">
        <w:trPr>
          <w:trHeight w:val="255"/>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Gender (reference = Male)</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 </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 </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Female</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0.89</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0.85-0.94</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&lt;0.01</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0.89</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0.85-0.94</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&lt;0.01</w:t>
            </w:r>
          </w:p>
        </w:tc>
      </w:tr>
      <w:tr w:rsidR="00AC6FE2" w:rsidRPr="007A196A" w:rsidTr="00C930FD">
        <w:trPr>
          <w:trHeight w:val="255"/>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Race (reference = White)</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 </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 </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Black</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1.04</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0.96-1.13</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0.33</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1.04</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0.96-1.13</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0.34</w:t>
            </w: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Other</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0.96</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0.84-1.09</w:t>
            </w: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0.49</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0.95</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r>
              <w:rPr>
                <w:rFonts w:ascii="Arial" w:hAnsi="Arial" w:cs="Arial"/>
                <w:sz w:val="20"/>
                <w:szCs w:val="20"/>
              </w:rPr>
              <w:t>0.84-1.08</w:t>
            </w: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Pr>
                <w:rFonts w:ascii="Arial" w:hAnsi="Arial" w:cs="Arial"/>
                <w:sz w:val="20"/>
                <w:szCs w:val="20"/>
              </w:rPr>
              <w:t>0.46</w:t>
            </w:r>
          </w:p>
        </w:tc>
      </w:tr>
      <w:tr w:rsidR="00AC6FE2" w:rsidRPr="007A196A" w:rsidTr="00C930FD">
        <w:trPr>
          <w:trHeight w:val="255"/>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Age Group (reference &lt; 50)</w:t>
            </w:r>
          </w:p>
        </w:tc>
        <w:tc>
          <w:tcPr>
            <w:tcW w:w="1065"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p>
        </w:tc>
        <w:tc>
          <w:tcPr>
            <w:tcW w:w="1077" w:type="dxa"/>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 </w:t>
            </w:r>
          </w:p>
        </w:tc>
        <w:tc>
          <w:tcPr>
            <w:tcW w:w="993" w:type="dxa"/>
            <w:shd w:val="clear" w:color="auto" w:fill="auto"/>
            <w:noWrap/>
            <w:vAlign w:val="center"/>
            <w:hideMark/>
          </w:tcPr>
          <w:p w:rsidR="00AC6FE2" w:rsidRPr="007A196A" w:rsidRDefault="00AC6FE2" w:rsidP="00AC6FE2">
            <w:pPr>
              <w:spacing w:after="0" w:line="240" w:lineRule="auto"/>
              <w:jc w:val="center"/>
              <w:rPr>
                <w:rFonts w:ascii="Arial" w:hAnsi="Arial" w:cs="Arial"/>
                <w:sz w:val="20"/>
                <w:szCs w:val="20"/>
              </w:rPr>
            </w:pPr>
            <w:r w:rsidRPr="007A196A">
              <w:rPr>
                <w:rFonts w:ascii="Arial" w:hAnsi="Arial" w:cs="Arial"/>
                <w:sz w:val="20"/>
                <w:szCs w:val="20"/>
              </w:rPr>
              <w:t> </w:t>
            </w:r>
          </w:p>
        </w:tc>
        <w:tc>
          <w:tcPr>
            <w:tcW w:w="1260" w:type="dxa"/>
            <w:shd w:val="clear" w:color="auto" w:fill="auto"/>
            <w:noWrap/>
            <w:vAlign w:val="center"/>
          </w:tcPr>
          <w:p w:rsidR="00AC6FE2" w:rsidRPr="007A196A" w:rsidRDefault="00AC6FE2" w:rsidP="00AC6FE2">
            <w:pPr>
              <w:spacing w:after="0" w:line="240" w:lineRule="auto"/>
              <w:jc w:val="center"/>
              <w:rPr>
                <w:rFonts w:ascii="Arial" w:hAnsi="Arial" w:cs="Arial"/>
                <w:sz w:val="20"/>
                <w:szCs w:val="20"/>
              </w:rPr>
            </w:pPr>
          </w:p>
        </w:tc>
        <w:tc>
          <w:tcPr>
            <w:tcW w:w="998" w:type="dxa"/>
            <w:tcBorders>
              <w:right w:val="nil"/>
            </w:tcBorders>
            <w:shd w:val="clear" w:color="auto" w:fill="auto"/>
            <w:noWrap/>
            <w:vAlign w:val="center"/>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 </w:t>
            </w:r>
          </w:p>
        </w:tc>
      </w:tr>
      <w:tr w:rsidR="00AC6FE2" w:rsidRPr="000A0FB2"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 xml:space="preserve">  50 to 64</w:t>
            </w:r>
          </w:p>
        </w:tc>
        <w:tc>
          <w:tcPr>
            <w:tcW w:w="1065"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1.76</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1.49-2.08</w:t>
            </w:r>
          </w:p>
        </w:tc>
        <w:tc>
          <w:tcPr>
            <w:tcW w:w="1077" w:type="dxa"/>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c>
          <w:tcPr>
            <w:tcW w:w="993"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1.75</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1.48-2.07</w:t>
            </w:r>
          </w:p>
        </w:tc>
        <w:tc>
          <w:tcPr>
            <w:tcW w:w="998" w:type="dxa"/>
            <w:tcBorders>
              <w:right w:val="nil"/>
            </w:tcBorders>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r>
      <w:tr w:rsidR="00AC6FE2" w:rsidRPr="000A0FB2"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 xml:space="preserve">  65 to 74</w:t>
            </w:r>
          </w:p>
        </w:tc>
        <w:tc>
          <w:tcPr>
            <w:tcW w:w="1065"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2.07</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1.77-2.41</w:t>
            </w:r>
          </w:p>
        </w:tc>
        <w:tc>
          <w:tcPr>
            <w:tcW w:w="1077" w:type="dxa"/>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c>
          <w:tcPr>
            <w:tcW w:w="993"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2.06</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1.76-2.41</w:t>
            </w:r>
          </w:p>
        </w:tc>
        <w:tc>
          <w:tcPr>
            <w:tcW w:w="998" w:type="dxa"/>
            <w:tcBorders>
              <w:right w:val="nil"/>
            </w:tcBorders>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r>
      <w:tr w:rsidR="00AC6FE2" w:rsidRPr="000A0FB2"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 xml:space="preserve">  75 to 84</w:t>
            </w:r>
          </w:p>
        </w:tc>
        <w:tc>
          <w:tcPr>
            <w:tcW w:w="1065"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3.12</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2.67-3.64</w:t>
            </w:r>
          </w:p>
        </w:tc>
        <w:tc>
          <w:tcPr>
            <w:tcW w:w="1077" w:type="dxa"/>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c>
          <w:tcPr>
            <w:tcW w:w="993"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3.10</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2.64-3.64</w:t>
            </w:r>
          </w:p>
        </w:tc>
        <w:tc>
          <w:tcPr>
            <w:tcW w:w="998" w:type="dxa"/>
            <w:tcBorders>
              <w:right w:val="nil"/>
            </w:tcBorders>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r>
      <w:tr w:rsidR="00AC6FE2" w:rsidRPr="000A0FB2"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 xml:space="preserve">  85 to 94</w:t>
            </w:r>
          </w:p>
        </w:tc>
        <w:tc>
          <w:tcPr>
            <w:tcW w:w="1065"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5.25</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4.47-6.16</w:t>
            </w:r>
          </w:p>
        </w:tc>
        <w:tc>
          <w:tcPr>
            <w:tcW w:w="1077" w:type="dxa"/>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c>
          <w:tcPr>
            <w:tcW w:w="993"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5.21</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4.36-6.21</w:t>
            </w:r>
          </w:p>
        </w:tc>
        <w:tc>
          <w:tcPr>
            <w:tcW w:w="998" w:type="dxa"/>
            <w:tcBorders>
              <w:right w:val="nil"/>
            </w:tcBorders>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r>
      <w:tr w:rsidR="00AC6FE2" w:rsidRPr="000A0FB2"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 xml:space="preserve">  95 and above</w:t>
            </w:r>
          </w:p>
        </w:tc>
        <w:tc>
          <w:tcPr>
            <w:tcW w:w="1065"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8.38</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6.68-10.52</w:t>
            </w:r>
          </w:p>
        </w:tc>
        <w:tc>
          <w:tcPr>
            <w:tcW w:w="1077" w:type="dxa"/>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c>
          <w:tcPr>
            <w:tcW w:w="993"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8.26</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6.47-10.55</w:t>
            </w:r>
          </w:p>
        </w:tc>
        <w:tc>
          <w:tcPr>
            <w:tcW w:w="998" w:type="dxa"/>
            <w:tcBorders>
              <w:right w:val="nil"/>
            </w:tcBorders>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r>
      <w:tr w:rsidR="00AC6FE2" w:rsidRPr="000A0FB2" w:rsidTr="00C930FD">
        <w:trPr>
          <w:trHeight w:val="255"/>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Insurance (reference = non Medicaid)</w:t>
            </w:r>
          </w:p>
        </w:tc>
        <w:tc>
          <w:tcPr>
            <w:tcW w:w="1065"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 </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p>
        </w:tc>
        <w:tc>
          <w:tcPr>
            <w:tcW w:w="1077" w:type="dxa"/>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 </w:t>
            </w:r>
          </w:p>
        </w:tc>
        <w:tc>
          <w:tcPr>
            <w:tcW w:w="993"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 </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p>
        </w:tc>
        <w:tc>
          <w:tcPr>
            <w:tcW w:w="998" w:type="dxa"/>
            <w:tcBorders>
              <w:right w:val="nil"/>
            </w:tcBorders>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 </w:t>
            </w:r>
          </w:p>
        </w:tc>
      </w:tr>
      <w:tr w:rsidR="00AC6FE2" w:rsidRPr="000A0FB2"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Medicaid</w:t>
            </w:r>
          </w:p>
        </w:tc>
        <w:tc>
          <w:tcPr>
            <w:tcW w:w="1065"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1.22</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1.14-1.30</w:t>
            </w:r>
          </w:p>
        </w:tc>
        <w:tc>
          <w:tcPr>
            <w:tcW w:w="1077" w:type="dxa"/>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c>
          <w:tcPr>
            <w:tcW w:w="993" w:type="dxa"/>
            <w:shd w:val="clear" w:color="auto" w:fill="auto"/>
            <w:noWrap/>
            <w:vAlign w:val="center"/>
            <w:hideMark/>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1.22</w:t>
            </w:r>
          </w:p>
        </w:tc>
        <w:tc>
          <w:tcPr>
            <w:tcW w:w="1260" w:type="dxa"/>
            <w:shd w:val="clear" w:color="auto" w:fill="auto"/>
            <w:noWrap/>
            <w:vAlign w:val="center"/>
          </w:tcPr>
          <w:p w:rsidR="00AC6FE2" w:rsidRPr="000A0FB2" w:rsidRDefault="00AC6FE2" w:rsidP="00AC6FE2">
            <w:pPr>
              <w:spacing w:after="0" w:line="240" w:lineRule="auto"/>
              <w:jc w:val="center"/>
              <w:rPr>
                <w:rFonts w:ascii="Arial" w:hAnsi="Arial" w:cs="Arial"/>
                <w:sz w:val="20"/>
                <w:szCs w:val="20"/>
              </w:rPr>
            </w:pPr>
            <w:r w:rsidRPr="000A0FB2">
              <w:rPr>
                <w:rFonts w:ascii="Arial" w:hAnsi="Arial" w:cs="Arial"/>
                <w:sz w:val="20"/>
                <w:szCs w:val="20"/>
              </w:rPr>
              <w:t>1.14-1.30</w:t>
            </w:r>
          </w:p>
        </w:tc>
        <w:tc>
          <w:tcPr>
            <w:tcW w:w="998" w:type="dxa"/>
            <w:tcBorders>
              <w:right w:val="nil"/>
            </w:tcBorders>
            <w:shd w:val="clear" w:color="auto" w:fill="auto"/>
            <w:noWrap/>
            <w:vAlign w:val="center"/>
            <w:hideMark/>
          </w:tcPr>
          <w:p w:rsidR="00AC6FE2" w:rsidRPr="000A0FB2" w:rsidRDefault="00AC6FE2" w:rsidP="00AC6FE2">
            <w:pPr>
              <w:spacing w:after="0" w:line="240" w:lineRule="auto"/>
              <w:jc w:val="right"/>
              <w:rPr>
                <w:rFonts w:ascii="Arial" w:hAnsi="Arial" w:cs="Arial"/>
                <w:sz w:val="20"/>
                <w:szCs w:val="20"/>
              </w:rPr>
            </w:pPr>
            <w:r w:rsidRPr="000A0FB2">
              <w:rPr>
                <w:rFonts w:ascii="Arial" w:hAnsi="Arial" w:cs="Arial"/>
                <w:sz w:val="20"/>
                <w:szCs w:val="20"/>
              </w:rPr>
              <w:t>&lt;0.01</w:t>
            </w:r>
          </w:p>
        </w:tc>
      </w:tr>
      <w:tr w:rsidR="00AC6FE2" w:rsidRPr="000A0FB2" w:rsidTr="00C930FD">
        <w:trPr>
          <w:trHeight w:val="300"/>
        </w:trPr>
        <w:tc>
          <w:tcPr>
            <w:tcW w:w="3255" w:type="dxa"/>
            <w:tcBorders>
              <w:left w:val="nil"/>
            </w:tcBorders>
            <w:shd w:val="clear" w:color="auto" w:fill="auto"/>
            <w:noWrap/>
            <w:vAlign w:val="bottom"/>
            <w:hideMark/>
          </w:tcPr>
          <w:p w:rsidR="00AC6FE2" w:rsidRPr="007A196A" w:rsidRDefault="00AC6FE2" w:rsidP="00AC6FE2">
            <w:pPr>
              <w:spacing w:after="0" w:line="240" w:lineRule="auto"/>
              <w:rPr>
                <w:rFonts w:ascii="Arial" w:hAnsi="Arial" w:cs="Arial"/>
                <w:b/>
                <w:bCs/>
                <w:sz w:val="20"/>
                <w:szCs w:val="20"/>
              </w:rPr>
            </w:pPr>
          </w:p>
        </w:tc>
        <w:tc>
          <w:tcPr>
            <w:tcW w:w="1065" w:type="dxa"/>
            <w:shd w:val="clear" w:color="auto" w:fill="auto"/>
            <w:noWrap/>
            <w:vAlign w:val="bottom"/>
            <w:hideMark/>
          </w:tcPr>
          <w:p w:rsidR="00AC6FE2" w:rsidRPr="000A0FB2" w:rsidRDefault="00AC6FE2" w:rsidP="00AC6FE2">
            <w:pPr>
              <w:spacing w:after="0" w:line="240" w:lineRule="auto"/>
              <w:rPr>
                <w:rFonts w:ascii="Arial" w:hAnsi="Arial" w:cs="Arial"/>
                <w:sz w:val="20"/>
                <w:szCs w:val="20"/>
              </w:rPr>
            </w:pPr>
          </w:p>
        </w:tc>
        <w:tc>
          <w:tcPr>
            <w:tcW w:w="1260" w:type="dxa"/>
            <w:shd w:val="clear" w:color="auto" w:fill="auto"/>
            <w:noWrap/>
            <w:vAlign w:val="bottom"/>
            <w:hideMark/>
          </w:tcPr>
          <w:p w:rsidR="00AC6FE2" w:rsidRPr="000A0FB2" w:rsidRDefault="00AC6FE2" w:rsidP="00AC6FE2">
            <w:pPr>
              <w:spacing w:after="0" w:line="240" w:lineRule="auto"/>
              <w:rPr>
                <w:rFonts w:ascii="Arial" w:hAnsi="Arial" w:cs="Arial"/>
                <w:sz w:val="20"/>
                <w:szCs w:val="20"/>
              </w:rPr>
            </w:pPr>
          </w:p>
        </w:tc>
        <w:tc>
          <w:tcPr>
            <w:tcW w:w="1077" w:type="dxa"/>
            <w:shd w:val="clear" w:color="auto" w:fill="auto"/>
            <w:noWrap/>
            <w:vAlign w:val="bottom"/>
            <w:hideMark/>
          </w:tcPr>
          <w:p w:rsidR="00AC6FE2" w:rsidRPr="000A0FB2" w:rsidRDefault="00AC6FE2" w:rsidP="00AC6FE2">
            <w:pPr>
              <w:spacing w:after="0" w:line="240" w:lineRule="auto"/>
              <w:rPr>
                <w:rFonts w:ascii="Arial" w:hAnsi="Arial" w:cs="Arial"/>
                <w:sz w:val="20"/>
                <w:szCs w:val="20"/>
              </w:rPr>
            </w:pPr>
          </w:p>
        </w:tc>
        <w:tc>
          <w:tcPr>
            <w:tcW w:w="993" w:type="dxa"/>
            <w:shd w:val="clear" w:color="auto" w:fill="auto"/>
            <w:noWrap/>
            <w:vAlign w:val="bottom"/>
            <w:hideMark/>
          </w:tcPr>
          <w:p w:rsidR="00AC6FE2" w:rsidRPr="000A0FB2" w:rsidRDefault="00AC6FE2" w:rsidP="00AC6FE2">
            <w:pPr>
              <w:spacing w:after="0" w:line="240" w:lineRule="auto"/>
              <w:rPr>
                <w:rFonts w:ascii="Arial" w:hAnsi="Arial" w:cs="Arial"/>
                <w:sz w:val="20"/>
                <w:szCs w:val="20"/>
              </w:rPr>
            </w:pPr>
          </w:p>
        </w:tc>
        <w:tc>
          <w:tcPr>
            <w:tcW w:w="1260" w:type="dxa"/>
            <w:shd w:val="clear" w:color="auto" w:fill="auto"/>
            <w:noWrap/>
            <w:vAlign w:val="bottom"/>
            <w:hideMark/>
          </w:tcPr>
          <w:p w:rsidR="00AC6FE2" w:rsidRPr="000A0FB2" w:rsidRDefault="00AC6FE2" w:rsidP="00AC6FE2">
            <w:pPr>
              <w:spacing w:after="0" w:line="240" w:lineRule="auto"/>
              <w:rPr>
                <w:rFonts w:ascii="Arial" w:hAnsi="Arial" w:cs="Arial"/>
                <w:sz w:val="20"/>
                <w:szCs w:val="20"/>
              </w:rPr>
            </w:pPr>
          </w:p>
        </w:tc>
        <w:tc>
          <w:tcPr>
            <w:tcW w:w="998" w:type="dxa"/>
            <w:tcBorders>
              <w:right w:val="nil"/>
            </w:tcBorders>
            <w:shd w:val="clear" w:color="auto" w:fill="auto"/>
            <w:noWrap/>
            <w:vAlign w:val="bottom"/>
            <w:hideMark/>
          </w:tcPr>
          <w:p w:rsidR="00AC6FE2" w:rsidRPr="000A0FB2" w:rsidRDefault="00AC6FE2" w:rsidP="00AC6FE2">
            <w:pPr>
              <w:spacing w:after="0" w:line="240" w:lineRule="auto"/>
              <w:rPr>
                <w:rFonts w:ascii="Arial" w:hAnsi="Arial" w:cs="Arial"/>
                <w:sz w:val="20"/>
                <w:szCs w:val="20"/>
              </w:rPr>
            </w:pP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Number of subjects</w:t>
            </w:r>
          </w:p>
        </w:tc>
        <w:tc>
          <w:tcPr>
            <w:tcW w:w="1065" w:type="dxa"/>
            <w:shd w:val="clear" w:color="auto" w:fill="auto"/>
            <w:noWrap/>
            <w:vAlign w:val="bottom"/>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17537</w:t>
            </w:r>
          </w:p>
        </w:tc>
        <w:tc>
          <w:tcPr>
            <w:tcW w:w="1260" w:type="dxa"/>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1077" w:type="dxa"/>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993" w:type="dxa"/>
            <w:shd w:val="clear" w:color="auto" w:fill="auto"/>
            <w:noWrap/>
            <w:vAlign w:val="bottom"/>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17537</w:t>
            </w:r>
          </w:p>
        </w:tc>
        <w:tc>
          <w:tcPr>
            <w:tcW w:w="1260" w:type="dxa"/>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998" w:type="dxa"/>
            <w:tcBorders>
              <w:right w:val="nil"/>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r>
      <w:tr w:rsidR="00AC6FE2" w:rsidRPr="007A196A" w:rsidTr="00C930FD">
        <w:trPr>
          <w:trHeight w:val="300"/>
        </w:trPr>
        <w:tc>
          <w:tcPr>
            <w:tcW w:w="3255" w:type="dxa"/>
            <w:tcBorders>
              <w:left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Number of failures</w:t>
            </w:r>
          </w:p>
        </w:tc>
        <w:tc>
          <w:tcPr>
            <w:tcW w:w="1065" w:type="dxa"/>
            <w:shd w:val="clear" w:color="auto" w:fill="auto"/>
            <w:noWrap/>
            <w:vAlign w:val="bottom"/>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9694</w:t>
            </w:r>
          </w:p>
        </w:tc>
        <w:tc>
          <w:tcPr>
            <w:tcW w:w="1260" w:type="dxa"/>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1077" w:type="dxa"/>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993" w:type="dxa"/>
            <w:shd w:val="clear" w:color="auto" w:fill="auto"/>
            <w:noWrap/>
            <w:vAlign w:val="bottom"/>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9694</w:t>
            </w:r>
          </w:p>
        </w:tc>
        <w:tc>
          <w:tcPr>
            <w:tcW w:w="1260" w:type="dxa"/>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998" w:type="dxa"/>
            <w:tcBorders>
              <w:right w:val="nil"/>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r>
      <w:tr w:rsidR="00AC6FE2" w:rsidRPr="007A196A" w:rsidTr="00C930FD">
        <w:trPr>
          <w:trHeight w:val="300"/>
        </w:trPr>
        <w:tc>
          <w:tcPr>
            <w:tcW w:w="3255" w:type="dxa"/>
            <w:tcBorders>
              <w:left w:val="nil"/>
              <w:bottom w:val="nil"/>
            </w:tcBorders>
            <w:shd w:val="clear" w:color="auto" w:fill="auto"/>
            <w:noWrap/>
            <w:vAlign w:val="center"/>
            <w:hideMark/>
          </w:tcPr>
          <w:p w:rsidR="00AC6FE2" w:rsidRPr="007A196A" w:rsidRDefault="00AC6FE2" w:rsidP="00AC6FE2">
            <w:pPr>
              <w:spacing w:after="0" w:line="240" w:lineRule="auto"/>
              <w:rPr>
                <w:rFonts w:ascii="Arial" w:hAnsi="Arial" w:cs="Arial"/>
                <w:b/>
                <w:bCs/>
                <w:sz w:val="20"/>
                <w:szCs w:val="20"/>
              </w:rPr>
            </w:pPr>
            <w:r w:rsidRPr="007A196A">
              <w:rPr>
                <w:rFonts w:ascii="Arial" w:hAnsi="Arial" w:cs="Arial"/>
                <w:b/>
                <w:bCs/>
                <w:sz w:val="20"/>
                <w:szCs w:val="20"/>
              </w:rPr>
              <w:t xml:space="preserve">Log </w:t>
            </w:r>
            <w:proofErr w:type="spellStart"/>
            <w:r w:rsidRPr="007A196A">
              <w:rPr>
                <w:rFonts w:ascii="Arial" w:hAnsi="Arial" w:cs="Arial"/>
                <w:b/>
                <w:bCs/>
                <w:sz w:val="20"/>
                <w:szCs w:val="20"/>
              </w:rPr>
              <w:t>pseudolikelihood</w:t>
            </w:r>
            <w:proofErr w:type="spellEnd"/>
            <w:r w:rsidRPr="007A196A">
              <w:rPr>
                <w:rFonts w:ascii="Arial" w:hAnsi="Arial" w:cs="Arial"/>
                <w:b/>
                <w:bCs/>
                <w:sz w:val="20"/>
                <w:szCs w:val="20"/>
              </w:rPr>
              <w:t xml:space="preserve"> </w:t>
            </w:r>
          </w:p>
        </w:tc>
        <w:tc>
          <w:tcPr>
            <w:tcW w:w="1065" w:type="dxa"/>
            <w:tcBorders>
              <w:bottom w:val="nil"/>
            </w:tcBorders>
            <w:shd w:val="clear" w:color="auto" w:fill="auto"/>
            <w:noWrap/>
            <w:vAlign w:val="bottom"/>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-89334.21</w:t>
            </w:r>
          </w:p>
        </w:tc>
        <w:tc>
          <w:tcPr>
            <w:tcW w:w="1260" w:type="dxa"/>
            <w:tcBorders>
              <w:bottom w:val="nil"/>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1077" w:type="dxa"/>
            <w:tcBorders>
              <w:bottom w:val="nil"/>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993" w:type="dxa"/>
            <w:tcBorders>
              <w:bottom w:val="nil"/>
            </w:tcBorders>
            <w:shd w:val="clear" w:color="auto" w:fill="auto"/>
            <w:noWrap/>
            <w:vAlign w:val="bottom"/>
            <w:hideMark/>
          </w:tcPr>
          <w:p w:rsidR="00AC6FE2" w:rsidRPr="007A196A" w:rsidRDefault="00AC6FE2" w:rsidP="00AC6FE2">
            <w:pPr>
              <w:spacing w:after="0" w:line="240" w:lineRule="auto"/>
              <w:jc w:val="right"/>
              <w:rPr>
                <w:rFonts w:ascii="Arial" w:hAnsi="Arial" w:cs="Arial"/>
                <w:sz w:val="20"/>
                <w:szCs w:val="20"/>
              </w:rPr>
            </w:pPr>
            <w:r w:rsidRPr="007A196A">
              <w:rPr>
                <w:rFonts w:ascii="Arial" w:hAnsi="Arial" w:cs="Arial"/>
                <w:sz w:val="20"/>
                <w:szCs w:val="20"/>
              </w:rPr>
              <w:t>-26182.6</w:t>
            </w:r>
          </w:p>
        </w:tc>
        <w:tc>
          <w:tcPr>
            <w:tcW w:w="1260" w:type="dxa"/>
            <w:tcBorders>
              <w:bottom w:val="nil"/>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c>
          <w:tcPr>
            <w:tcW w:w="998" w:type="dxa"/>
            <w:tcBorders>
              <w:bottom w:val="nil"/>
              <w:right w:val="nil"/>
            </w:tcBorders>
            <w:shd w:val="clear" w:color="auto" w:fill="auto"/>
            <w:noWrap/>
            <w:vAlign w:val="bottom"/>
            <w:hideMark/>
          </w:tcPr>
          <w:p w:rsidR="00AC6FE2" w:rsidRPr="007A196A" w:rsidRDefault="00AC6FE2" w:rsidP="00AC6FE2">
            <w:pPr>
              <w:spacing w:after="0" w:line="240" w:lineRule="auto"/>
              <w:rPr>
                <w:rFonts w:ascii="Arial" w:hAnsi="Arial" w:cs="Arial"/>
                <w:sz w:val="20"/>
                <w:szCs w:val="20"/>
              </w:rPr>
            </w:pPr>
          </w:p>
        </w:tc>
      </w:tr>
    </w:tbl>
    <w:p w:rsidR="00AC6FE2" w:rsidRPr="005B3E91" w:rsidRDefault="00AC6FE2" w:rsidP="005B3E91">
      <w:pPr>
        <w:spacing w:after="0" w:line="240" w:lineRule="auto"/>
        <w:rPr>
          <w:rFonts w:ascii="Times New Roman" w:eastAsia="Times New Roman" w:hAnsi="Times New Roman" w:cs="Times New Roman"/>
          <w:b/>
          <w:sz w:val="24"/>
          <w:szCs w:val="24"/>
        </w:rPr>
      </w:pPr>
    </w:p>
    <w:p w:rsidR="005B3E91" w:rsidRPr="005B3E91" w:rsidRDefault="005B3E91" w:rsidP="005B3E91">
      <w:pPr>
        <w:spacing w:after="0" w:line="480" w:lineRule="auto"/>
        <w:rPr>
          <w:rFonts w:ascii="Times New Roman" w:eastAsia="Times New Roman" w:hAnsi="Times New Roman" w:cs="Times New Roman"/>
          <w:sz w:val="24"/>
          <w:szCs w:val="24"/>
        </w:rPr>
      </w:pPr>
      <w:r w:rsidRPr="005B3E91">
        <w:rPr>
          <w:rFonts w:ascii="Times New Roman" w:eastAsia="Times New Roman" w:hAnsi="Times New Roman" w:cs="Times New Roman"/>
          <w:sz w:val="24"/>
          <w:szCs w:val="24"/>
        </w:rPr>
        <w:t xml:space="preserve">CLABSI – central-line associated blood stream infection </w:t>
      </w:r>
    </w:p>
    <w:p w:rsidR="005B3E91" w:rsidRPr="005B3E91" w:rsidRDefault="005B3E91" w:rsidP="005B3E91">
      <w:pPr>
        <w:spacing w:after="0" w:line="480" w:lineRule="auto"/>
        <w:rPr>
          <w:rFonts w:ascii="Times New Roman" w:eastAsia="Times New Roman" w:hAnsi="Times New Roman" w:cs="Times New Roman"/>
          <w:sz w:val="24"/>
          <w:szCs w:val="24"/>
        </w:rPr>
      </w:pPr>
      <w:r w:rsidRPr="005B3E91">
        <w:rPr>
          <w:rFonts w:ascii="Times New Roman" w:eastAsia="Times New Roman" w:hAnsi="Times New Roman" w:cs="Times New Roman"/>
          <w:sz w:val="24"/>
          <w:szCs w:val="24"/>
        </w:rPr>
        <w:t>VAP – ventilator associated pneumonia</w:t>
      </w:r>
    </w:p>
    <w:p w:rsidR="00A8699D" w:rsidRDefault="005B3E91" w:rsidP="005B3E91">
      <w:pPr>
        <w:spacing w:after="0" w:line="480" w:lineRule="auto"/>
        <w:rPr>
          <w:rFonts w:ascii="Times New Roman" w:eastAsia="Times New Roman" w:hAnsi="Times New Roman" w:cs="Times New Roman"/>
          <w:sz w:val="24"/>
          <w:szCs w:val="24"/>
        </w:rPr>
        <w:sectPr w:rsidR="00A8699D">
          <w:footerReference w:type="default" r:id="rId10"/>
          <w:pgSz w:w="12240" w:h="15840"/>
          <w:pgMar w:top="1440" w:right="1440" w:bottom="1440" w:left="1440" w:header="720" w:footer="720" w:gutter="0"/>
          <w:cols w:space="720"/>
          <w:docGrid w:linePitch="360"/>
        </w:sectPr>
      </w:pPr>
      <w:r w:rsidRPr="005B3E91">
        <w:rPr>
          <w:rFonts w:ascii="Times New Roman" w:eastAsia="Times New Roman" w:hAnsi="Times New Roman" w:cs="Times New Roman"/>
          <w:sz w:val="24"/>
          <w:szCs w:val="24"/>
        </w:rPr>
        <w:t xml:space="preserve">Tests of the Cox proportional hazards assumption showed that the effects of sepsis and pneumonia were not proportional over time. Thus, interactions between sepsis and pneumonia </w:t>
      </w:r>
      <w:r w:rsidRPr="005B3E91">
        <w:rPr>
          <w:rFonts w:ascii="Times New Roman" w:eastAsia="Times New Roman" w:hAnsi="Times New Roman" w:cs="Times New Roman"/>
          <w:sz w:val="24"/>
          <w:szCs w:val="24"/>
        </w:rPr>
        <w:lastRenderedPageBreak/>
        <w:t xml:space="preserve">and analysis time (distinguishing the first year after discharge from the rest of the study period) were incorporated into the model. </w:t>
      </w:r>
    </w:p>
    <w:p w:rsidR="00A8699D" w:rsidRPr="00A8699D" w:rsidRDefault="008E6FFE" w:rsidP="00A869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Additional </w:t>
      </w:r>
      <w:r w:rsidR="00A8699D">
        <w:rPr>
          <w:rFonts w:ascii="Times New Roman" w:eastAsia="Times New Roman" w:hAnsi="Times New Roman" w:cs="Times New Roman"/>
          <w:b/>
          <w:sz w:val="24"/>
          <w:szCs w:val="24"/>
        </w:rPr>
        <w:t xml:space="preserve">Table 2 </w:t>
      </w:r>
      <w:r w:rsidR="00A8699D" w:rsidRPr="00A8699D">
        <w:rPr>
          <w:rFonts w:ascii="Times New Roman" w:eastAsia="Times New Roman" w:hAnsi="Times New Roman" w:cs="Times New Roman"/>
          <w:b/>
          <w:sz w:val="24"/>
          <w:szCs w:val="24"/>
        </w:rPr>
        <w:t>Full Utilization Models Inpatient Admissions, Outpatient Visits, ED Visits, Long-Term Care admissions, and Home Care Visits</w:t>
      </w:r>
    </w:p>
    <w:p w:rsidR="00A8699D" w:rsidRPr="00A8699D" w:rsidRDefault="002E63A5" w:rsidP="002E63A5">
      <w:pPr>
        <w:spacing w:after="0" w:line="480" w:lineRule="auto"/>
        <w:ind w:left="-180"/>
        <w:rPr>
          <w:rFonts w:ascii="Times New Roman" w:eastAsia="Times New Roman" w:hAnsi="Times New Roman" w:cs="Times New Roman"/>
        </w:rPr>
      </w:pPr>
      <w:r w:rsidRPr="002E63A5">
        <w:rPr>
          <w:noProof/>
        </w:rPr>
        <w:drawing>
          <wp:inline distT="0" distB="0" distL="0" distR="0">
            <wp:extent cx="7143750" cy="73533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7144549" cy="7354122"/>
                    </a:xfrm>
                    <a:prstGeom prst="rect">
                      <a:avLst/>
                    </a:prstGeom>
                    <a:noFill/>
                    <a:ln w="9525">
                      <a:noFill/>
                      <a:miter lim="800000"/>
                      <a:headEnd/>
                      <a:tailEnd/>
                    </a:ln>
                  </pic:spPr>
                </pic:pic>
              </a:graphicData>
            </a:graphic>
          </wp:inline>
        </w:drawing>
      </w:r>
    </w:p>
    <w:p w:rsidR="00576801" w:rsidRDefault="00A8699D" w:rsidP="005B3E91">
      <w:pPr>
        <w:spacing w:after="0" w:line="480" w:lineRule="auto"/>
      </w:pPr>
      <w:r w:rsidRPr="00A8699D">
        <w:rPr>
          <w:rFonts w:ascii="Times New Roman" w:eastAsia="Times New Roman" w:hAnsi="Times New Roman" w:cs="Times New Roman"/>
          <w:sz w:val="24"/>
          <w:szCs w:val="24"/>
        </w:rPr>
        <w:t>CLABSI – central-line associated blood stream infection; ED – Emergency Department; VAP – ventilator associated pneumonia</w:t>
      </w:r>
    </w:p>
    <w:sectPr w:rsidR="00576801" w:rsidSect="002E6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B7" w:rsidRDefault="00AF1BB7" w:rsidP="001F0C50">
      <w:pPr>
        <w:spacing w:after="0" w:line="240" w:lineRule="auto"/>
      </w:pPr>
      <w:r>
        <w:separator/>
      </w:r>
    </w:p>
  </w:endnote>
  <w:endnote w:type="continuationSeparator" w:id="0">
    <w:p w:rsidR="00AF1BB7" w:rsidRDefault="00AF1BB7" w:rsidP="001F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74439"/>
      <w:docPartObj>
        <w:docPartGallery w:val="Page Numbers (Bottom of Page)"/>
        <w:docPartUnique/>
      </w:docPartObj>
    </w:sdtPr>
    <w:sdtEndPr>
      <w:rPr>
        <w:noProof/>
      </w:rPr>
    </w:sdtEndPr>
    <w:sdtContent>
      <w:p w:rsidR="001F0C50" w:rsidRDefault="00E83592">
        <w:pPr>
          <w:pStyle w:val="Footer"/>
          <w:jc w:val="right"/>
        </w:pPr>
        <w:r>
          <w:fldChar w:fldCharType="begin"/>
        </w:r>
        <w:r w:rsidR="001F0C50">
          <w:instrText xml:space="preserve"> PAGE   \* MERGEFORMAT </w:instrText>
        </w:r>
        <w:r>
          <w:fldChar w:fldCharType="separate"/>
        </w:r>
        <w:r w:rsidR="00C65C7A">
          <w:rPr>
            <w:noProof/>
          </w:rPr>
          <w:t>5</w:t>
        </w:r>
        <w:r>
          <w:rPr>
            <w:noProof/>
          </w:rPr>
          <w:fldChar w:fldCharType="end"/>
        </w:r>
      </w:p>
    </w:sdtContent>
  </w:sdt>
  <w:p w:rsidR="001F0C50" w:rsidRDefault="001F0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B7" w:rsidRDefault="00AF1BB7" w:rsidP="001F0C50">
      <w:pPr>
        <w:spacing w:after="0" w:line="240" w:lineRule="auto"/>
      </w:pPr>
      <w:r>
        <w:separator/>
      </w:r>
    </w:p>
  </w:footnote>
  <w:footnote w:type="continuationSeparator" w:id="0">
    <w:p w:rsidR="00AF1BB7" w:rsidRDefault="00AF1BB7" w:rsidP="001F0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91"/>
    <w:rsid w:val="001F0C50"/>
    <w:rsid w:val="002E63A5"/>
    <w:rsid w:val="00576801"/>
    <w:rsid w:val="005B3E91"/>
    <w:rsid w:val="008E6FFE"/>
    <w:rsid w:val="00A8699D"/>
    <w:rsid w:val="00AC6FE2"/>
    <w:rsid w:val="00AF1BB7"/>
    <w:rsid w:val="00C65C7A"/>
    <w:rsid w:val="00D84B2D"/>
    <w:rsid w:val="00E83592"/>
    <w:rsid w:val="00FC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99D"/>
    <w:rPr>
      <w:rFonts w:ascii="Tahoma" w:hAnsi="Tahoma" w:cs="Tahoma"/>
      <w:sz w:val="16"/>
      <w:szCs w:val="16"/>
    </w:rPr>
  </w:style>
  <w:style w:type="paragraph" w:styleId="Header">
    <w:name w:val="header"/>
    <w:basedOn w:val="Normal"/>
    <w:link w:val="HeaderChar"/>
    <w:uiPriority w:val="99"/>
    <w:unhideWhenUsed/>
    <w:rsid w:val="001F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50"/>
  </w:style>
  <w:style w:type="paragraph" w:styleId="Footer">
    <w:name w:val="footer"/>
    <w:basedOn w:val="Normal"/>
    <w:link w:val="FooterChar"/>
    <w:uiPriority w:val="99"/>
    <w:unhideWhenUsed/>
    <w:rsid w:val="001F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99D"/>
    <w:rPr>
      <w:rFonts w:ascii="Tahoma" w:hAnsi="Tahoma" w:cs="Tahoma"/>
      <w:sz w:val="16"/>
      <w:szCs w:val="16"/>
    </w:rPr>
  </w:style>
  <w:style w:type="paragraph" w:styleId="Header">
    <w:name w:val="header"/>
    <w:basedOn w:val="Normal"/>
    <w:link w:val="HeaderChar"/>
    <w:uiPriority w:val="99"/>
    <w:unhideWhenUsed/>
    <w:rsid w:val="001F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50"/>
  </w:style>
  <w:style w:type="paragraph" w:styleId="Footer">
    <w:name w:val="footer"/>
    <w:basedOn w:val="Normal"/>
    <w:link w:val="FooterChar"/>
    <w:uiPriority w:val="99"/>
    <w:unhideWhenUsed/>
    <w:rsid w:val="001F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08166">
      <w:bodyDiv w:val="1"/>
      <w:marLeft w:val="0"/>
      <w:marRight w:val="0"/>
      <w:marTop w:val="0"/>
      <w:marBottom w:val="0"/>
      <w:divBdr>
        <w:top w:val="none" w:sz="0" w:space="0" w:color="auto"/>
        <w:left w:val="none" w:sz="0" w:space="0" w:color="auto"/>
        <w:bottom w:val="none" w:sz="0" w:space="0" w:color="auto"/>
        <w:right w:val="none" w:sz="0" w:space="0" w:color="auto"/>
      </w:divBdr>
    </w:div>
    <w:div w:id="15431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C93CE.EBBE8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9B2F-07AC-4765-81A9-A0C03CF8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CUMC IT</dc:creator>
  <cp:lastModifiedBy>CUMC IT</cp:lastModifiedBy>
  <cp:revision>2</cp:revision>
  <dcterms:created xsi:type="dcterms:W3CDTF">2012-11-07T19:10:00Z</dcterms:created>
  <dcterms:modified xsi:type="dcterms:W3CDTF">2012-11-07T19:10:00Z</dcterms:modified>
</cp:coreProperties>
</file>