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C4" w:rsidRPr="001C01B6" w:rsidRDefault="009565C4" w:rsidP="00BC6A55">
      <w:pPr>
        <w:pStyle w:val="Caption"/>
        <w:spacing w:line="480" w:lineRule="auto"/>
        <w:rPr>
          <w:b w:val="0"/>
          <w:sz w:val="24"/>
        </w:rPr>
      </w:pPr>
      <w:bookmarkStart w:id="0" w:name="_Ref449617431"/>
      <w:r w:rsidRPr="001C01B6">
        <w:rPr>
          <w:rFonts w:cs="Arial"/>
          <w:b w:val="0"/>
          <w:sz w:val="24"/>
        </w:rPr>
        <w:t xml:space="preserve">Key model inputs are summarised in </w:t>
      </w:r>
      <w:r w:rsidRPr="001C01B6">
        <w:rPr>
          <w:b w:val="0"/>
          <w:sz w:val="24"/>
        </w:rPr>
        <w:t xml:space="preserve">Table </w:t>
      </w:r>
      <w:r w:rsidR="00C1573B" w:rsidRPr="001C01B6">
        <w:rPr>
          <w:b w:val="0"/>
          <w:sz w:val="24"/>
        </w:rPr>
        <w:fldChar w:fldCharType="begin"/>
      </w:r>
      <w:r w:rsidRPr="001C01B6">
        <w:rPr>
          <w:b w:val="0"/>
          <w:sz w:val="24"/>
        </w:rPr>
        <w:instrText xml:space="preserve"> SEQ Table \* ARABIC </w:instrText>
      </w:r>
      <w:r w:rsidR="00C1573B" w:rsidRPr="001C01B6">
        <w:rPr>
          <w:b w:val="0"/>
          <w:sz w:val="24"/>
        </w:rPr>
        <w:fldChar w:fldCharType="separate"/>
      </w:r>
      <w:r w:rsidRPr="001C01B6">
        <w:rPr>
          <w:b w:val="0"/>
          <w:noProof/>
          <w:sz w:val="24"/>
        </w:rPr>
        <w:t>1</w:t>
      </w:r>
      <w:r w:rsidR="00C1573B" w:rsidRPr="001C01B6">
        <w:rPr>
          <w:b w:val="0"/>
          <w:sz w:val="24"/>
        </w:rPr>
        <w:fldChar w:fldCharType="end"/>
      </w:r>
      <w:bookmarkEnd w:id="0"/>
      <w:r w:rsidRPr="001C01B6">
        <w:rPr>
          <w:rFonts w:cs="Arial"/>
          <w:b w:val="0"/>
          <w:sz w:val="24"/>
        </w:rPr>
        <w:t xml:space="preserve">. </w:t>
      </w:r>
      <w:r w:rsidRPr="001C01B6">
        <w:rPr>
          <w:b w:val="0"/>
          <w:color w:val="292526"/>
          <w:sz w:val="24"/>
        </w:rPr>
        <w:t>Health utility values used by the model were based on published data</w:t>
      </w:r>
      <w:r w:rsidR="00C1573B" w:rsidRPr="001C01B6">
        <w:rPr>
          <w:rFonts w:cs="Calibri"/>
          <w:b w:val="0"/>
          <w:sz w:val="24"/>
        </w:rPr>
        <w:fldChar w:fldCharType="begin"/>
      </w:r>
      <w:r w:rsidR="008D4262" w:rsidRPr="001C01B6">
        <w:rPr>
          <w:rFonts w:cs="Calibri"/>
          <w:b w:val="0"/>
          <w:sz w:val="24"/>
        </w:rPr>
        <w:instrText xml:space="preserve"> ADDIN EN.CITE &lt;EndNote&gt;&lt;Cite&gt;&lt;Author&gt;Clarke&lt;/Author&gt;&lt;Year&gt;2002&lt;/Year&gt;&lt;RecNum&gt;6566&lt;/RecNum&gt;&lt;DisplayText&gt;[22]&lt;/DisplayText&gt;&lt;record&gt;&lt;rec-number&gt;6566&lt;/rec-number&gt;&lt;foreign-keys&gt;&lt;key app="EN" db-id="dtx5avsxn2rv91evvalxvadlpzrd5as2fwrp"&gt;6566&lt;/key&gt;&lt;/foreign-keys&gt;&lt;ref-type name="Journal Article"&gt;17&lt;/ref-type&gt;&lt;contributors&gt;&lt;authors&gt;&lt;author&gt;Clarke, P.&lt;/author&gt;&lt;author&gt;Gray, A.&lt;/author&gt;&lt;author&gt;Holman, R.&lt;/author&gt;&lt;/authors&gt;&lt;/contributors&gt;&lt;auth-address&gt;philip.clarke@dphpc.ox.ac.uk&lt;/auth-address&gt;&lt;titles&gt;&lt;title&gt;Estimating utility values for health states of type 2 diabetic patients using the EQ-5D (UKPDS 62)&lt;/title&gt;&lt;secondary-title&gt;Med Decis Making&lt;/secondary-title&gt;&lt;/titles&gt;&lt;periodical&gt;&lt;full-title&gt;Med Decis Making&lt;/full-title&gt;&lt;/periodical&gt;&lt;pages&gt;340-9&lt;/pages&gt;&lt;volume&gt;22&lt;/volume&gt;&lt;number&gt;4&lt;/number&gt;&lt;edition&gt;2002/08/02&lt;/edition&gt;&lt;keywords&gt;&lt;keyword&gt;Adolescent&lt;/keyword&gt;&lt;keyword&gt;Child&lt;/keyword&gt;&lt;keyword&gt;Diabetes Mellitus, Type 2/*complications/psychology&lt;/keyword&gt;&lt;keyword&gt;Female&lt;/keyword&gt;&lt;keyword&gt;Great Britain&lt;/keyword&gt;&lt;keyword&gt;Humans&lt;/keyword&gt;&lt;keyword&gt;Male&lt;/keyword&gt;&lt;keyword&gt;Outcome Assessment (Health Care)&lt;/keyword&gt;&lt;keyword&gt;Pain Measurement&lt;/keyword&gt;&lt;keyword&gt;Prospective Studies&lt;/keyword&gt;&lt;keyword&gt;Quality of Life/*psychology&lt;/keyword&gt;&lt;keyword&gt;Questionnaires&lt;/keyword&gt;&lt;keyword&gt;Regression Analysis&lt;/keyword&gt;&lt;keyword&gt;*Sickness Impact Profile&lt;/keyword&gt;&lt;/keywords&gt;&lt;dates&gt;&lt;year&gt;2002&lt;/year&gt;&lt;pub-dates&gt;&lt;date&gt;Jul-Aug&lt;/date&gt;&lt;/pub-dates&gt;&lt;/dates&gt;&lt;isbn&gt;0272-989X (Print)&amp;#xD;0272-989X (Linking)&lt;/isbn&gt;&lt;accession-num&gt;12150599&lt;/accession-num&gt;&lt;urls&gt;&lt;related-urls&gt;&lt;url&gt;http://www.ncbi.nlm.nih.gov/entrez/query.fcgi?cmd=Retrieve&amp;amp;db=PubMed&amp;amp;dopt=Citation&amp;amp;list_uids=12150599&lt;/url&gt;&lt;/related-urls&gt;&lt;/urls&gt;&lt;language&gt;eng&lt;/language&gt;&lt;/record&gt;&lt;/Cite&gt;&lt;/EndNote&gt;</w:instrText>
      </w:r>
      <w:r w:rsidR="00C1573B" w:rsidRPr="001C01B6">
        <w:rPr>
          <w:rFonts w:cs="Calibri"/>
          <w:b w:val="0"/>
          <w:sz w:val="24"/>
        </w:rPr>
        <w:fldChar w:fldCharType="separate"/>
      </w:r>
      <w:r w:rsidR="008D4262" w:rsidRPr="001C01B6">
        <w:rPr>
          <w:rFonts w:cs="Calibri"/>
          <w:b w:val="0"/>
          <w:noProof/>
          <w:sz w:val="24"/>
        </w:rPr>
        <w:t>[</w:t>
      </w:r>
      <w:hyperlink w:anchor="_ENREF_22" w:tooltip="Clarke, 2002 #6566" w:history="1">
        <w:r w:rsidR="008D4262" w:rsidRPr="001C01B6">
          <w:rPr>
            <w:rFonts w:cs="Calibri"/>
            <w:b w:val="0"/>
            <w:noProof/>
            <w:sz w:val="24"/>
          </w:rPr>
          <w:t>22</w:t>
        </w:r>
      </w:hyperlink>
      <w:r w:rsidR="008D4262" w:rsidRPr="001C01B6">
        <w:rPr>
          <w:rFonts w:cs="Calibri"/>
          <w:b w:val="0"/>
          <w:noProof/>
          <w:sz w:val="24"/>
        </w:rPr>
        <w:t>]</w:t>
      </w:r>
      <w:r w:rsidR="00C1573B" w:rsidRPr="001C01B6">
        <w:rPr>
          <w:rFonts w:cs="Calibri"/>
          <w:b w:val="0"/>
          <w:sz w:val="24"/>
        </w:rPr>
        <w:fldChar w:fldCharType="end"/>
      </w:r>
      <w:r w:rsidRPr="001C01B6">
        <w:rPr>
          <w:b w:val="0"/>
          <w:color w:val="292526"/>
          <w:sz w:val="24"/>
        </w:rPr>
        <w:t>. Therefore, a health utility score of 0.78 was applied to participants without diabetes complications</w:t>
      </w:r>
      <w:r w:rsidR="00BC6A55" w:rsidRPr="001C01B6">
        <w:rPr>
          <w:b w:val="0"/>
          <w:color w:val="292526"/>
          <w:sz w:val="24"/>
        </w:rPr>
        <w:t>. U</w:t>
      </w:r>
      <w:r w:rsidRPr="001C01B6">
        <w:rPr>
          <w:b w:val="0"/>
          <w:color w:val="292526"/>
          <w:sz w:val="24"/>
        </w:rPr>
        <w:t xml:space="preserve">tility decrements </w:t>
      </w:r>
      <w:r w:rsidR="00BC6A55" w:rsidRPr="001C01B6">
        <w:rPr>
          <w:b w:val="0"/>
          <w:color w:val="292526"/>
          <w:sz w:val="24"/>
        </w:rPr>
        <w:t xml:space="preserve">applied to </w:t>
      </w:r>
      <w:r w:rsidRPr="001C01B6">
        <w:rPr>
          <w:b w:val="0"/>
          <w:color w:val="292526"/>
          <w:sz w:val="24"/>
        </w:rPr>
        <w:t>participants with a history of complications</w:t>
      </w:r>
      <w:r w:rsidR="00BC6A55" w:rsidRPr="001C01B6">
        <w:rPr>
          <w:b w:val="0"/>
          <w:color w:val="292526"/>
          <w:sz w:val="24"/>
        </w:rPr>
        <w:t xml:space="preserve"> are summarised in </w:t>
      </w:r>
      <w:fldSimple w:instr=" REF _Ref449755896 \h  \* MERGEFORMAT ">
        <w:r w:rsidR="00BC6A55" w:rsidRPr="001C01B6">
          <w:rPr>
            <w:b w:val="0"/>
            <w:sz w:val="24"/>
          </w:rPr>
          <w:t xml:space="preserve">Table </w:t>
        </w:r>
        <w:r w:rsidR="00BC6A55" w:rsidRPr="001C01B6">
          <w:rPr>
            <w:b w:val="0"/>
            <w:noProof/>
            <w:sz w:val="24"/>
          </w:rPr>
          <w:t>2</w:t>
        </w:r>
      </w:fldSimple>
      <w:r w:rsidR="00BC6A55" w:rsidRPr="001C01B6">
        <w:rPr>
          <w:b w:val="0"/>
          <w:color w:val="292526"/>
          <w:sz w:val="24"/>
        </w:rPr>
        <w:t xml:space="preserve">. </w:t>
      </w:r>
      <w:r w:rsidRPr="001C01B6">
        <w:rPr>
          <w:b w:val="0"/>
          <w:sz w:val="24"/>
        </w:rPr>
        <w:t>Cost of treating participants with and without diabetes related complications and of delivering the intervention in each simulation year are summarised in</w:t>
      </w:r>
      <w:r w:rsidR="00BC6A55" w:rsidRPr="001C01B6">
        <w:rPr>
          <w:b w:val="0"/>
          <w:sz w:val="24"/>
        </w:rPr>
        <w:t xml:space="preserve"> </w:t>
      </w:r>
      <w:fldSimple w:instr=" REF _Ref449755896 \h  \* MERGEFORMAT ">
        <w:r w:rsidR="00BC6A55" w:rsidRPr="001C01B6">
          <w:rPr>
            <w:b w:val="0"/>
            <w:sz w:val="24"/>
          </w:rPr>
          <w:t xml:space="preserve">Tables </w:t>
        </w:r>
        <w:r w:rsidR="00BC6A55" w:rsidRPr="001C01B6">
          <w:rPr>
            <w:b w:val="0"/>
            <w:noProof/>
            <w:sz w:val="24"/>
          </w:rPr>
          <w:t>3</w:t>
        </w:r>
      </w:fldSimple>
      <w:r w:rsidR="00BC6A55" w:rsidRPr="001C01B6">
        <w:rPr>
          <w:b w:val="0"/>
          <w:sz w:val="24"/>
        </w:rPr>
        <w:t>-</w:t>
      </w:r>
      <w:fldSimple w:instr=" REF _Ref449618164 \h  \* MERGEFORMAT ">
        <w:r w:rsidR="00BC6A55" w:rsidRPr="001C01B6">
          <w:rPr>
            <w:b w:val="0"/>
            <w:noProof/>
            <w:sz w:val="24"/>
          </w:rPr>
          <w:t>5</w:t>
        </w:r>
      </w:fldSimple>
      <w:r w:rsidR="00BC6A55" w:rsidRPr="001C01B6">
        <w:rPr>
          <w:b w:val="0"/>
          <w:sz w:val="24"/>
        </w:rPr>
        <w:t xml:space="preserve">, </w:t>
      </w:r>
      <w:r w:rsidRPr="001C01B6">
        <w:rPr>
          <w:b w:val="0"/>
          <w:sz w:val="24"/>
        </w:rPr>
        <w:t xml:space="preserve">respectively. </w:t>
      </w:r>
    </w:p>
    <w:p w:rsidR="00BC6A55" w:rsidRPr="001C01B6" w:rsidRDefault="00C1573B" w:rsidP="00BC6A55">
      <w:pPr>
        <w:pStyle w:val="Caption"/>
        <w:spacing w:after="0"/>
      </w:pPr>
      <w:fldSimple w:instr=" REF _Ref449617431 \h  \* MERGEFORMAT ">
        <w:r w:rsidR="00BC6A55" w:rsidRPr="001C01B6">
          <w:t xml:space="preserve">Table </w:t>
        </w:r>
        <w:r w:rsidR="00BC6A55" w:rsidRPr="001C01B6">
          <w:rPr>
            <w:noProof/>
          </w:rPr>
          <w:t>1</w:t>
        </w:r>
      </w:fldSimple>
      <w:r w:rsidR="00BC6A55" w:rsidRPr="001C01B6">
        <w:t>:</w:t>
      </w:r>
      <w:bookmarkStart w:id="1" w:name="_Toc365541428"/>
      <w:r w:rsidR="00BC6A55" w:rsidRPr="001C01B6">
        <w:t xml:space="preserve"> Key input data required by the UKPDS Outcomes Model</w:t>
      </w:r>
      <w:bookmarkEnd w:id="1"/>
    </w:p>
    <w:tbl>
      <w:tblPr>
        <w:tblStyle w:val="TableGrid"/>
        <w:tblpPr w:leftFromText="180" w:rightFromText="180" w:vertAnchor="text" w:horzAnchor="margin" w:tblpXSpec="center" w:tblpY="176"/>
        <w:tblW w:w="0" w:type="auto"/>
        <w:tblLook w:val="04A0"/>
      </w:tblPr>
      <w:tblGrid>
        <w:gridCol w:w="3959"/>
        <w:gridCol w:w="4440"/>
      </w:tblGrid>
      <w:tr w:rsidR="00BC6A55" w:rsidRPr="001C01B6" w:rsidTr="00FC24D4">
        <w:tc>
          <w:tcPr>
            <w:tcW w:w="3959" w:type="dxa"/>
          </w:tcPr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Demographic characteristics:</w:t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440" w:type="dxa"/>
          </w:tcPr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 xml:space="preserve">Ethnicity </w:t>
            </w:r>
            <w:r w:rsidRPr="001C01B6">
              <w:rPr>
                <w:rFonts w:cstheme="minorHAnsi"/>
                <w:sz w:val="20"/>
                <w:szCs w:val="20"/>
              </w:rPr>
              <w:t>(Afro-Caribbean, Caucasian, Asian/Indian)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G</w:t>
            </w:r>
            <w:r w:rsidRPr="001C01B6">
              <w:rPr>
                <w:rFonts w:cstheme="minorHAnsi"/>
                <w:color w:val="292526"/>
                <w:sz w:val="20"/>
                <w:szCs w:val="20"/>
              </w:rPr>
              <w:t>ender (male/female)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Age at diagnosis of T2DM (years)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Diabetes duration (years)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Weight (kg)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Height (cm)</w:t>
            </w:r>
          </w:p>
        </w:tc>
      </w:tr>
      <w:tr w:rsidR="00BC6A55" w:rsidRPr="001C01B6" w:rsidTr="00FC24D4">
        <w:trPr>
          <w:trHeight w:val="578"/>
        </w:trPr>
        <w:tc>
          <w:tcPr>
            <w:tcW w:w="3959" w:type="dxa"/>
          </w:tcPr>
          <w:p w:rsidR="00BC6A55" w:rsidRPr="001C01B6" w:rsidRDefault="00BC6A55" w:rsidP="00FC24D4">
            <w:pPr>
              <w:pStyle w:val="ListParagraph"/>
              <w:ind w:left="0" w:right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Risk factor values at diagnosis of T2DM</w:t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440" w:type="dxa"/>
          </w:tcPr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AF (yes/no)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PVD (yes/no)</w:t>
            </w:r>
            <w:r w:rsidRPr="001C01B6">
              <w:rPr>
                <w:rFonts w:cstheme="minorHAnsi"/>
                <w:color w:val="292526"/>
                <w:sz w:val="20"/>
                <w:szCs w:val="20"/>
              </w:rPr>
              <w:tab/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Smoking (current/never/ex-smoker)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Cholesterol (mmol/l)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HDL (mmol/l)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Systolic BP (mmHg)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HbA1C (%)</w:t>
            </w:r>
          </w:p>
        </w:tc>
      </w:tr>
      <w:tr w:rsidR="00BC6A55" w:rsidRPr="001C01B6" w:rsidTr="00FC24D4">
        <w:tc>
          <w:tcPr>
            <w:tcW w:w="3959" w:type="dxa"/>
          </w:tcPr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Current risk factor values</w:t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440" w:type="dxa"/>
          </w:tcPr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Smoking (current/never/ex-smoker)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Cholesterol (mmol/l)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HDL (mmol/l)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Systolic BP (mmHg)</w:t>
            </w:r>
          </w:p>
          <w:p w:rsidR="00BC6A55" w:rsidRPr="001C01B6" w:rsidRDefault="00BC6A55" w:rsidP="00FC24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1C01B6">
              <w:rPr>
                <w:rFonts w:cstheme="minorHAnsi"/>
                <w:color w:val="292526"/>
                <w:sz w:val="20"/>
                <w:szCs w:val="20"/>
              </w:rPr>
              <w:t>HbA1C (%)</w:t>
            </w:r>
          </w:p>
        </w:tc>
      </w:tr>
      <w:tr w:rsidR="00BC6A55" w:rsidRPr="001C01B6" w:rsidTr="00FC24D4">
        <w:tc>
          <w:tcPr>
            <w:tcW w:w="3959" w:type="dxa"/>
          </w:tcPr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Years since pre-existing event</w:t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  <w:r w:rsidRPr="001C01B6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4440" w:type="dxa"/>
          </w:tcPr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CHD - excluding MI (years)</w:t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CHF (years)</w:t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Amputation (years)</w:t>
            </w:r>
            <w:r w:rsidRPr="001C01B6">
              <w:rPr>
                <w:rFonts w:cstheme="minorHAnsi"/>
                <w:sz w:val="20"/>
                <w:szCs w:val="20"/>
              </w:rPr>
              <w:tab/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Blindness in one or both eyes (years)</w:t>
            </w:r>
            <w:r w:rsidRPr="001C01B6">
              <w:rPr>
                <w:rFonts w:cstheme="minorHAnsi"/>
                <w:sz w:val="20"/>
                <w:szCs w:val="20"/>
              </w:rPr>
              <w:tab/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Renal failure (years)</w:t>
            </w:r>
            <w:r w:rsidRPr="001C01B6">
              <w:rPr>
                <w:rFonts w:cstheme="minorHAnsi"/>
                <w:sz w:val="20"/>
                <w:szCs w:val="20"/>
              </w:rPr>
              <w:tab/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Stroke (years)</w:t>
            </w:r>
            <w:r w:rsidRPr="001C01B6">
              <w:rPr>
                <w:rFonts w:cstheme="minorHAnsi"/>
                <w:sz w:val="20"/>
                <w:szCs w:val="20"/>
              </w:rPr>
              <w:tab/>
            </w:r>
          </w:p>
          <w:p w:rsidR="00BC6A55" w:rsidRPr="001C01B6" w:rsidRDefault="00BC6A55" w:rsidP="00FC24D4">
            <w:pPr>
              <w:pStyle w:val="ListParagraph"/>
              <w:ind w:left="0" w:right="-448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 xml:space="preserve">MI (years) </w:t>
            </w:r>
          </w:p>
        </w:tc>
      </w:tr>
    </w:tbl>
    <w:p w:rsidR="00BC6A55" w:rsidRPr="001C01B6" w:rsidRDefault="00BC6A55" w:rsidP="00BC6A55">
      <w:pPr>
        <w:pStyle w:val="Caption"/>
      </w:pPr>
    </w:p>
    <w:p w:rsidR="00BC6A55" w:rsidRPr="001C01B6" w:rsidRDefault="00BC6A55" w:rsidP="00BC6A55">
      <w:pPr>
        <w:pStyle w:val="Caption"/>
      </w:pPr>
      <w:r w:rsidRPr="001C01B6">
        <w:t xml:space="preserve">Table </w:t>
      </w:r>
      <w:r w:rsidR="00C1573B" w:rsidRPr="001C01B6">
        <w:fldChar w:fldCharType="begin"/>
      </w:r>
      <w:r w:rsidRPr="001C01B6">
        <w:instrText xml:space="preserve"> SEQ Table \* ARABIC </w:instrText>
      </w:r>
      <w:r w:rsidR="00C1573B" w:rsidRPr="001C01B6">
        <w:fldChar w:fldCharType="separate"/>
      </w:r>
      <w:r w:rsidRPr="001C01B6">
        <w:rPr>
          <w:noProof/>
        </w:rPr>
        <w:t>2</w:t>
      </w:r>
      <w:r w:rsidR="00C1573B" w:rsidRPr="001C01B6">
        <w:rPr>
          <w:noProof/>
        </w:rPr>
        <w:fldChar w:fldCharType="end"/>
      </w:r>
      <w:r w:rsidRPr="001C01B6">
        <w:t xml:space="preserve">: Utility decrements applied to participants during the simulation period  </w:t>
      </w:r>
    </w:p>
    <w:tbl>
      <w:tblPr>
        <w:tblStyle w:val="TableGrid"/>
        <w:tblpPr w:leftFromText="180" w:rightFromText="180" w:vertAnchor="text" w:horzAnchor="margin" w:tblpXSpec="center" w:tblpY="99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8"/>
      </w:tblGrid>
      <w:tr w:rsidR="00BC6A55" w:rsidRPr="001C01B6" w:rsidTr="000E7B05"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Complication</w:t>
            </w:r>
          </w:p>
        </w:tc>
        <w:tc>
          <w:tcPr>
            <w:tcW w:w="2378" w:type="dxa"/>
            <w:tcBorders>
              <w:top w:val="single" w:sz="2" w:space="0" w:color="auto"/>
              <w:bottom w:val="single" w:sz="2" w:space="0" w:color="auto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cstheme="minorHAnsi"/>
                <w:b/>
                <w:sz w:val="20"/>
                <w:szCs w:val="20"/>
              </w:rPr>
              <w:t>Utility decrement</w:t>
            </w:r>
          </w:p>
        </w:tc>
      </w:tr>
      <w:tr w:rsidR="00BC6A55" w:rsidRPr="001C01B6" w:rsidTr="000E7B05">
        <w:tc>
          <w:tcPr>
            <w:tcW w:w="1809" w:type="dxa"/>
            <w:tcBorders>
              <w:top w:val="single" w:sz="2" w:space="0" w:color="auto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CHD</w:t>
            </w: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-0.09 (-0.126- -0.054)</w:t>
            </w:r>
          </w:p>
        </w:tc>
      </w:tr>
      <w:tr w:rsidR="00BC6A55" w:rsidRPr="001C01B6" w:rsidTr="000E7B05">
        <w:tc>
          <w:tcPr>
            <w:tcW w:w="1809" w:type="dxa"/>
            <w:tcBorders>
              <w:bottom w:val="nil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MI </w:t>
            </w:r>
          </w:p>
        </w:tc>
        <w:tc>
          <w:tcPr>
            <w:tcW w:w="2378" w:type="dxa"/>
            <w:tcBorders>
              <w:bottom w:val="nil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-0.055 (-0.067- -0.042)</w:t>
            </w:r>
          </w:p>
        </w:tc>
      </w:tr>
      <w:tr w:rsidR="00BC6A55" w:rsidRPr="001C01B6" w:rsidTr="000E7B05">
        <w:tc>
          <w:tcPr>
            <w:tcW w:w="1809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CHF 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-0.108 (-0.169- -0.048)</w:t>
            </w:r>
          </w:p>
        </w:tc>
      </w:tr>
      <w:tr w:rsidR="00BC6A55" w:rsidRPr="001C01B6" w:rsidTr="000E7B05">
        <w:tc>
          <w:tcPr>
            <w:tcW w:w="1809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Stroke 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-0.164 (-0.222- -0.105)</w:t>
            </w:r>
          </w:p>
        </w:tc>
      </w:tr>
      <w:tr w:rsidR="00BC6A55" w:rsidRPr="001C01B6" w:rsidTr="000E7B05">
        <w:tc>
          <w:tcPr>
            <w:tcW w:w="1809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Amputation 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-0.28 (-0.389- -0.170)</w:t>
            </w:r>
          </w:p>
        </w:tc>
      </w:tr>
      <w:tr w:rsidR="00BC6A55" w:rsidRPr="001C01B6" w:rsidTr="000E7B05">
        <w:tc>
          <w:tcPr>
            <w:tcW w:w="1809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Blindness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-0.074 (-0.252- -0.124)</w:t>
            </w:r>
          </w:p>
        </w:tc>
      </w:tr>
      <w:tr w:rsidR="00BC6A55" w:rsidRPr="001C01B6" w:rsidTr="000E7B05">
        <w:tc>
          <w:tcPr>
            <w:tcW w:w="1809" w:type="dxa"/>
            <w:tcBorders>
              <w:top w:val="nil"/>
              <w:bottom w:val="single" w:sz="2" w:space="0" w:color="auto"/>
            </w:tcBorders>
          </w:tcPr>
          <w:p w:rsidR="00BC6A55" w:rsidRPr="001C01B6" w:rsidRDefault="00BC6A55" w:rsidP="000E7B05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Renal failure </w:t>
            </w:r>
          </w:p>
        </w:tc>
        <w:tc>
          <w:tcPr>
            <w:tcW w:w="2378" w:type="dxa"/>
            <w:tcBorders>
              <w:top w:val="nil"/>
              <w:bottom w:val="single" w:sz="2" w:space="0" w:color="auto"/>
            </w:tcBorders>
          </w:tcPr>
          <w:p w:rsidR="00BC6A55" w:rsidRPr="001C01B6" w:rsidRDefault="00BC6A55" w:rsidP="000E7B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C01B6">
              <w:rPr>
                <w:rFonts w:cstheme="minorHAnsi"/>
                <w:sz w:val="20"/>
                <w:szCs w:val="20"/>
              </w:rPr>
              <w:t>-0.263 (-0.263- -0.263)</w:t>
            </w:r>
          </w:p>
        </w:tc>
      </w:tr>
    </w:tbl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BC6A55" w:rsidRPr="001C01B6" w:rsidRDefault="00BC6A55" w:rsidP="009565C4">
      <w:pPr>
        <w:pStyle w:val="Caption"/>
        <w:spacing w:after="0"/>
      </w:pPr>
    </w:p>
    <w:p w:rsidR="009565C4" w:rsidRPr="001C01B6" w:rsidRDefault="009565C4" w:rsidP="009565C4">
      <w:pPr>
        <w:pStyle w:val="Caption"/>
      </w:pPr>
      <w:bookmarkStart w:id="2" w:name="_Ref346018119"/>
      <w:bookmarkStart w:id="3" w:name="_Toc365541432"/>
    </w:p>
    <w:p w:rsidR="009565C4" w:rsidRPr="001C01B6" w:rsidRDefault="009565C4" w:rsidP="001C01B6">
      <w:pPr>
        <w:jc w:val="both"/>
        <w:rPr>
          <w:rFonts w:cstheme="minorHAnsi"/>
          <w:b/>
          <w:bCs/>
        </w:rPr>
      </w:pPr>
      <w:bookmarkStart w:id="4" w:name="_Ref449618160"/>
      <w:bookmarkStart w:id="5" w:name="_Ref449755896"/>
      <w:r w:rsidRPr="001C01B6">
        <w:rPr>
          <w:b/>
        </w:rPr>
        <w:lastRenderedPageBreak/>
        <w:t xml:space="preserve">Table </w:t>
      </w:r>
      <w:r w:rsidR="00C1573B" w:rsidRPr="001C01B6">
        <w:rPr>
          <w:b/>
        </w:rPr>
        <w:fldChar w:fldCharType="begin"/>
      </w:r>
      <w:r w:rsidRPr="001C01B6">
        <w:rPr>
          <w:b/>
        </w:rPr>
        <w:instrText xml:space="preserve"> SEQ Table \* ARABIC </w:instrText>
      </w:r>
      <w:r w:rsidR="00C1573B" w:rsidRPr="001C01B6">
        <w:rPr>
          <w:b/>
        </w:rPr>
        <w:fldChar w:fldCharType="separate"/>
      </w:r>
      <w:r w:rsidR="00BC6A55" w:rsidRPr="001C01B6">
        <w:rPr>
          <w:b/>
          <w:noProof/>
        </w:rPr>
        <w:t>3</w:t>
      </w:r>
      <w:r w:rsidR="00C1573B" w:rsidRPr="001C01B6">
        <w:rPr>
          <w:b/>
          <w:noProof/>
        </w:rPr>
        <w:fldChar w:fldCharType="end"/>
      </w:r>
      <w:bookmarkEnd w:id="4"/>
      <w:bookmarkEnd w:id="5"/>
      <w:r w:rsidRPr="001C01B6">
        <w:rPr>
          <w:b/>
        </w:rPr>
        <w:t xml:space="preserve">: Annual cost of diabetes-related complications during the year the complication developed and in subsequent years </w:t>
      </w:r>
      <w:bookmarkEnd w:id="2"/>
      <w:bookmarkEnd w:id="3"/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748"/>
        <w:gridCol w:w="1748"/>
        <w:gridCol w:w="2210"/>
      </w:tblGrid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96" w:type="dxa"/>
            <w:gridSpan w:val="2"/>
            <w:shd w:val="clear" w:color="auto" w:fill="auto"/>
            <w:noWrap/>
            <w:vAlign w:val="bottom"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In year complication develops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In subsequent years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Fatal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Non-fatal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Cost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CHD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 20249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(19362-21128)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3429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(3007-3862)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MI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15443</w:t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(12065-18972 )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18773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(17599-20045)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2706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(2454-2979)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CHF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 25003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(22484-27384)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 25003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(22484-27384)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10462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(8298-13302)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Stroke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22807</w:t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(14633-31583) 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22559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(20759-24445)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5943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(5194-6810)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Amputation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 32870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(30059-36082)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32870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(30059-36082)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6490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(5092-8087) 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Blindness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14297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(10262-20360)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4893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(2557-7506)</w:t>
            </w:r>
          </w:p>
        </w:tc>
      </w:tr>
      <w:tr w:rsidR="009565C4" w:rsidRPr="001C01B6" w:rsidTr="009140F2">
        <w:trPr>
          <w:trHeight w:val="300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Renal failure 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 46144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(37012-55065)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46144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(37012-55065)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49044</w:t>
            </w: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 w:cstheme="minorHAnsi"/>
                <w:sz w:val="20"/>
                <w:szCs w:val="20"/>
                <w:lang w:eastAsia="en-AU"/>
              </w:rPr>
              <w:t>(36125-60961)</w:t>
            </w:r>
          </w:p>
        </w:tc>
      </w:tr>
    </w:tbl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292526"/>
          <w:sz w:val="20"/>
        </w:rPr>
      </w:pPr>
      <w:r w:rsidRPr="001C01B6">
        <w:rPr>
          <w:rFonts w:cstheme="minorHAnsi"/>
          <w:b/>
          <w:color w:val="292526"/>
          <w:sz w:val="20"/>
        </w:rPr>
        <w:t xml:space="preserve">          *All costs reported in $AU 2012/13. </w:t>
      </w:r>
    </w:p>
    <w:p w:rsidR="009565C4" w:rsidRPr="001C01B6" w:rsidRDefault="009565C4" w:rsidP="009565C4">
      <w:pPr>
        <w:pStyle w:val="Caption"/>
      </w:pPr>
      <w:bookmarkStart w:id="6" w:name="_Ref449618163"/>
    </w:p>
    <w:p w:rsidR="009565C4" w:rsidRPr="001C01B6" w:rsidRDefault="009565C4" w:rsidP="009565C4">
      <w:pPr>
        <w:pStyle w:val="Caption"/>
      </w:pPr>
      <w:r w:rsidRPr="001C01B6">
        <w:t xml:space="preserve">Table </w:t>
      </w:r>
      <w:fldSimple w:instr=" SEQ Table \* ARABIC ">
        <w:r w:rsidR="00BC6A55" w:rsidRPr="001C01B6">
          <w:rPr>
            <w:noProof/>
          </w:rPr>
          <w:t>4</w:t>
        </w:r>
      </w:fldSimple>
      <w:bookmarkEnd w:id="6"/>
      <w:r w:rsidRPr="001C01B6">
        <w:t xml:space="preserve">: Annual diabetes-related costs of participants without complications in the intervention versus control groups </w:t>
      </w:r>
    </w:p>
    <w:tbl>
      <w:tblPr>
        <w:tblpPr w:leftFromText="180" w:rightFromText="180" w:vertAnchor="text" w:horzAnchor="margin" w:tblpXSpec="center" w:tblpY="199"/>
        <w:tblW w:w="62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376"/>
        <w:gridCol w:w="1843"/>
        <w:gridCol w:w="1985"/>
      </w:tblGrid>
      <w:tr w:rsidR="009565C4" w:rsidRPr="001C01B6" w:rsidTr="009140F2">
        <w:trPr>
          <w:trHeight w:val="283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01B6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</w:t>
            </w:r>
          </w:p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 w:rsidRPr="001C01B6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(n=25)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01B6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Control</w:t>
            </w:r>
          </w:p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01B6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(n=22)</w:t>
            </w:r>
          </w:p>
        </w:tc>
      </w:tr>
      <w:tr w:rsidR="009565C4" w:rsidRPr="001C01B6" w:rsidTr="009140F2">
        <w:trPr>
          <w:trHeight w:val="283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65C4" w:rsidRPr="001C01B6" w:rsidRDefault="009565C4" w:rsidP="009140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01B6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Diabetes-related costs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6091</w:t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(2183-9998)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3107</w:t>
            </w:r>
          </w:p>
          <w:p w:rsidR="009565C4" w:rsidRPr="001C01B6" w:rsidRDefault="009565C4" w:rsidP="009140F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1C01B6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(2530 – 3683)</w:t>
            </w:r>
          </w:p>
        </w:tc>
      </w:tr>
    </w:tbl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92526"/>
        </w:rPr>
      </w:pPr>
    </w:p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92526"/>
        </w:rPr>
      </w:pPr>
    </w:p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92526"/>
        </w:rPr>
      </w:pPr>
    </w:p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theme="minorHAnsi"/>
          <w:color w:val="292526"/>
        </w:rPr>
      </w:pPr>
      <w:r w:rsidRPr="001C01B6">
        <w:rPr>
          <w:rFonts w:cstheme="minorHAnsi"/>
          <w:b/>
          <w:color w:val="292526"/>
          <w:sz w:val="20"/>
        </w:rPr>
        <w:t>*All costs reported in $AU 2012/13.</w:t>
      </w:r>
    </w:p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92526"/>
        </w:rPr>
      </w:pPr>
    </w:p>
    <w:p w:rsidR="009565C4" w:rsidRPr="001C01B6" w:rsidRDefault="009565C4" w:rsidP="009565C4">
      <w:pPr>
        <w:pStyle w:val="Caption"/>
        <w:rPr>
          <w:color w:val="292526"/>
        </w:rPr>
      </w:pPr>
      <w:bookmarkStart w:id="7" w:name="_Ref449618164"/>
      <w:r w:rsidRPr="001C01B6">
        <w:t xml:space="preserve">Table </w:t>
      </w:r>
      <w:fldSimple w:instr=" SEQ Table \* ARABIC ">
        <w:r w:rsidR="00BC6A55" w:rsidRPr="001C01B6">
          <w:rPr>
            <w:noProof/>
          </w:rPr>
          <w:t>5</w:t>
        </w:r>
      </w:fldSimple>
      <w:bookmarkEnd w:id="7"/>
      <w:r w:rsidRPr="001C01B6">
        <w:t xml:space="preserve">: </w:t>
      </w:r>
      <w:r w:rsidRPr="001C01B6">
        <w:rPr>
          <w:color w:val="292526"/>
        </w:rPr>
        <w:t>Annual discounted cost of the telephone coaching intervention in the first through to the 10</w:t>
      </w:r>
      <w:r w:rsidRPr="001C01B6">
        <w:rPr>
          <w:color w:val="292526"/>
          <w:vertAlign w:val="superscript"/>
        </w:rPr>
        <w:t>th</w:t>
      </w:r>
      <w:r w:rsidRPr="001C01B6">
        <w:rPr>
          <w:color w:val="292526"/>
        </w:rPr>
        <w:t xml:space="preserve"> simulation year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68"/>
        <w:gridCol w:w="1988"/>
      </w:tblGrid>
      <w:tr w:rsidR="009565C4" w:rsidRPr="001C01B6" w:rsidTr="009140F2">
        <w:trPr>
          <w:jc w:val="center"/>
        </w:trPr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</w:tcPr>
          <w:p w:rsidR="009565C4" w:rsidRPr="001C01B6" w:rsidRDefault="009565C4" w:rsidP="009140F2">
            <w:pPr>
              <w:jc w:val="both"/>
              <w:rPr>
                <w:rFonts w:cs="Calibri"/>
                <w:b/>
                <w:color w:val="000000"/>
              </w:rPr>
            </w:pPr>
            <w:r w:rsidRPr="001C01B6">
              <w:rPr>
                <w:rFonts w:cs="Calibri"/>
                <w:b/>
                <w:color w:val="000000"/>
              </w:rPr>
              <w:t>Year</w:t>
            </w:r>
          </w:p>
        </w:tc>
        <w:tc>
          <w:tcPr>
            <w:tcW w:w="19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b/>
                <w:color w:val="000000"/>
              </w:rPr>
            </w:pPr>
            <w:r w:rsidRPr="001C01B6">
              <w:rPr>
                <w:rFonts w:cs="Calibri"/>
                <w:b/>
                <w:color w:val="000000"/>
              </w:rPr>
              <w:t xml:space="preserve">Discounted cost 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single" w:sz="2" w:space="0" w:color="auto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one</w:t>
            </w:r>
          </w:p>
        </w:tc>
        <w:tc>
          <w:tcPr>
            <w:tcW w:w="1988" w:type="dxa"/>
            <w:tcBorders>
              <w:top w:val="single" w:sz="2" w:space="0" w:color="auto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1286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two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1225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three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1166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four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1111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five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1058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six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1008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seven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960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eight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914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nine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870</w:t>
            </w:r>
          </w:p>
        </w:tc>
      </w:tr>
      <w:tr w:rsidR="009565C4" w:rsidRPr="001C01B6" w:rsidTr="009140F2">
        <w:trPr>
          <w:jc w:val="center"/>
        </w:trPr>
        <w:tc>
          <w:tcPr>
            <w:tcW w:w="1268" w:type="dxa"/>
            <w:tcBorders>
              <w:top w:val="nil"/>
              <w:bottom w:val="single" w:sz="2" w:space="0" w:color="auto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Year 10</w:t>
            </w:r>
          </w:p>
        </w:tc>
        <w:tc>
          <w:tcPr>
            <w:tcW w:w="1988" w:type="dxa"/>
            <w:tcBorders>
              <w:top w:val="nil"/>
              <w:bottom w:val="single" w:sz="2" w:space="0" w:color="auto"/>
            </w:tcBorders>
            <w:vAlign w:val="bottom"/>
          </w:tcPr>
          <w:p w:rsidR="009565C4" w:rsidRPr="001C01B6" w:rsidRDefault="009565C4" w:rsidP="009140F2">
            <w:pPr>
              <w:jc w:val="both"/>
              <w:rPr>
                <w:rFonts w:cs="Calibri"/>
                <w:color w:val="000000"/>
              </w:rPr>
            </w:pPr>
            <w:r w:rsidRPr="001C01B6">
              <w:rPr>
                <w:rFonts w:cs="Calibri"/>
                <w:color w:val="000000"/>
              </w:rPr>
              <w:t>829</w:t>
            </w:r>
          </w:p>
        </w:tc>
      </w:tr>
    </w:tbl>
    <w:p w:rsidR="009565C4" w:rsidRPr="001C01B6" w:rsidRDefault="009565C4" w:rsidP="009565C4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theme="minorHAnsi"/>
          <w:b/>
          <w:color w:val="292526"/>
          <w:sz w:val="20"/>
        </w:rPr>
      </w:pPr>
      <w:r w:rsidRPr="001C01B6">
        <w:rPr>
          <w:rFonts w:cstheme="minorHAnsi"/>
          <w:b/>
          <w:color w:val="292526"/>
          <w:sz w:val="20"/>
        </w:rPr>
        <w:t xml:space="preserve">*All costs reported in $AU 2012/13. </w:t>
      </w:r>
    </w:p>
    <w:p w:rsidR="009565C4" w:rsidRPr="001C01B6" w:rsidRDefault="009565C4" w:rsidP="0095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05D2" w:rsidRPr="001C01B6" w:rsidRDefault="001205D2" w:rsidP="001205D2">
      <w:pPr>
        <w:jc w:val="both"/>
      </w:pPr>
      <w:bookmarkStart w:id="8" w:name="_GoBack"/>
      <w:bookmarkEnd w:id="8"/>
    </w:p>
    <w:p w:rsidR="000B6A63" w:rsidRPr="001C01B6" w:rsidRDefault="000B6A63"/>
    <w:sectPr w:rsidR="000B6A63" w:rsidRPr="001C01B6" w:rsidSect="00C1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x5avsxn2rv91evvalxvadlpzrd5as2fwrp&quot;&gt;EndNote 100511&lt;record-ids&gt;&lt;item&gt;6566&lt;/item&gt;&lt;/record-ids&gt;&lt;/item&gt;&lt;/Libraries&gt;"/>
  </w:docVars>
  <w:rsids>
    <w:rsidRoot w:val="001A4BEE"/>
    <w:rsid w:val="000B6A63"/>
    <w:rsid w:val="001205D2"/>
    <w:rsid w:val="00165389"/>
    <w:rsid w:val="001A4BEE"/>
    <w:rsid w:val="001C01B6"/>
    <w:rsid w:val="002B6AF7"/>
    <w:rsid w:val="008D4262"/>
    <w:rsid w:val="009565C4"/>
    <w:rsid w:val="00BC6A55"/>
    <w:rsid w:val="00C1573B"/>
    <w:rsid w:val="00F7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C4"/>
    <w:pPr>
      <w:ind w:left="720"/>
      <w:contextualSpacing/>
    </w:pPr>
  </w:style>
  <w:style w:type="table" w:styleId="TableGrid">
    <w:name w:val="Table Grid"/>
    <w:basedOn w:val="TableNormal"/>
    <w:uiPriority w:val="59"/>
    <w:rsid w:val="0095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9565C4"/>
    <w:pPr>
      <w:spacing w:line="240" w:lineRule="auto"/>
      <w:jc w:val="both"/>
    </w:pPr>
    <w:rPr>
      <w:rFonts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8D4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C4"/>
    <w:pPr>
      <w:ind w:left="720"/>
      <w:contextualSpacing/>
    </w:pPr>
  </w:style>
  <w:style w:type="table" w:styleId="TableGrid">
    <w:name w:val="Table Grid"/>
    <w:basedOn w:val="TableNormal"/>
    <w:uiPriority w:val="59"/>
    <w:rsid w:val="009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9565C4"/>
    <w:pPr>
      <w:spacing w:line="240" w:lineRule="auto"/>
      <w:jc w:val="both"/>
    </w:pPr>
    <w:rPr>
      <w:rFonts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8D4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V</dc:creator>
  <cp:lastModifiedBy>.</cp:lastModifiedBy>
  <cp:revision>5</cp:revision>
  <dcterms:created xsi:type="dcterms:W3CDTF">2016-04-29T19:06:00Z</dcterms:created>
  <dcterms:modified xsi:type="dcterms:W3CDTF">2016-08-10T01:53:00Z</dcterms:modified>
</cp:coreProperties>
</file>