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5C" w:rsidRDefault="00127DA8" w:rsidP="00E1415C">
      <w:pPr>
        <w:pStyle w:val="Beschriftung"/>
      </w:pPr>
      <w:r w:rsidRPr="009C226F">
        <w:t xml:space="preserve">Table </w:t>
      </w:r>
      <w:r>
        <w:t>S</w:t>
      </w:r>
      <w:r w:rsidR="00E1415C">
        <w:t>3</w:t>
      </w:r>
      <w:r w:rsidRPr="009C226F">
        <w:t xml:space="preserve">: </w:t>
      </w:r>
      <w:r w:rsidR="00E1415C" w:rsidRPr="00E07AB5">
        <w:t xml:space="preserve">Total costs of treatment in the MDR-TB cohort, split by </w:t>
      </w:r>
      <w:r w:rsidR="00E1415C">
        <w:t xml:space="preserve">intervention &amp; cost </w:t>
      </w:r>
      <w:r w:rsidR="00E1415C" w:rsidRPr="00E07AB5">
        <w:t>category</w:t>
      </w:r>
    </w:p>
    <w:tbl>
      <w:tblPr>
        <w:tblStyle w:val="Tabellenraster"/>
        <w:tblW w:w="9384" w:type="dxa"/>
        <w:tblLayout w:type="fixed"/>
        <w:tblLook w:val="06E0" w:firstRow="1" w:lastRow="1" w:firstColumn="1" w:lastColumn="0" w:noHBand="1" w:noVBand="1"/>
      </w:tblPr>
      <w:tblGrid>
        <w:gridCol w:w="1791"/>
        <w:gridCol w:w="1820"/>
        <w:gridCol w:w="1794"/>
        <w:gridCol w:w="2003"/>
        <w:gridCol w:w="1976"/>
      </w:tblGrid>
      <w:tr w:rsidR="00E1415C" w:rsidRPr="007A5D8A" w:rsidTr="00DE376E">
        <w:trPr>
          <w:trHeight w:val="545"/>
        </w:trPr>
        <w:tc>
          <w:tcPr>
            <w:tcW w:w="1791" w:type="dxa"/>
            <w:hideMark/>
          </w:tcPr>
          <w:p w:rsidR="00E1415C" w:rsidRPr="00012EBD" w:rsidRDefault="00E1415C" w:rsidP="00DE376E">
            <w:pPr>
              <w:spacing w:line="480" w:lineRule="auto"/>
              <w:rPr>
                <w:b/>
              </w:rPr>
            </w:pPr>
            <w:r w:rsidRPr="00012EBD">
              <w:rPr>
                <w:b/>
              </w:rPr>
              <w:t>Cost category</w:t>
            </w:r>
          </w:p>
        </w:tc>
        <w:tc>
          <w:tcPr>
            <w:tcW w:w="7593" w:type="dxa"/>
            <w:gridSpan w:val="4"/>
            <w:hideMark/>
          </w:tcPr>
          <w:p w:rsidR="00E1415C" w:rsidRPr="00012EBD" w:rsidRDefault="00E1415C" w:rsidP="00DE376E">
            <w:pPr>
              <w:spacing w:line="480" w:lineRule="auto"/>
              <w:rPr>
                <w:b/>
              </w:rPr>
            </w:pPr>
            <w:r w:rsidRPr="007A5D8A">
              <w:t>MDR-TB cohort (n=</w:t>
            </w:r>
            <w:r>
              <w:t>100</w:t>
            </w:r>
            <w:r w:rsidRPr="007A5D8A">
              <w:t>)</w:t>
            </w:r>
          </w:p>
        </w:tc>
      </w:tr>
      <w:tr w:rsidR="00E1415C" w:rsidRPr="007A5D8A" w:rsidTr="00DE376E">
        <w:trPr>
          <w:trHeight w:val="1114"/>
        </w:trPr>
        <w:tc>
          <w:tcPr>
            <w:tcW w:w="1791" w:type="dxa"/>
          </w:tcPr>
          <w:p w:rsidR="00E1415C" w:rsidRPr="007A5D8A" w:rsidRDefault="00E1415C" w:rsidP="00DE376E">
            <w:pPr>
              <w:spacing w:line="480" w:lineRule="auto"/>
            </w:pPr>
          </w:p>
        </w:tc>
        <w:tc>
          <w:tcPr>
            <w:tcW w:w="1820" w:type="dxa"/>
            <w:hideMark/>
          </w:tcPr>
          <w:p w:rsidR="00E1415C" w:rsidRPr="007A5D8A" w:rsidRDefault="00E1415C" w:rsidP="00DE376E">
            <w:pPr>
              <w:spacing w:line="480" w:lineRule="auto"/>
            </w:pPr>
            <w:r>
              <w:t>BR alone</w:t>
            </w:r>
          </w:p>
        </w:tc>
        <w:tc>
          <w:tcPr>
            <w:tcW w:w="1794" w:type="dxa"/>
            <w:hideMark/>
          </w:tcPr>
          <w:p w:rsidR="00E1415C" w:rsidRPr="007A5D8A" w:rsidRDefault="00E1415C" w:rsidP="00DE376E">
            <w:pPr>
              <w:spacing w:line="480" w:lineRule="auto"/>
            </w:pPr>
            <w:r>
              <w:t>Linezolid plus BR</w:t>
            </w:r>
          </w:p>
        </w:tc>
        <w:tc>
          <w:tcPr>
            <w:tcW w:w="2003" w:type="dxa"/>
            <w:hideMark/>
          </w:tcPr>
          <w:p w:rsidR="00E1415C" w:rsidRPr="007A5D8A" w:rsidRDefault="00E1415C" w:rsidP="00DE376E">
            <w:pPr>
              <w:spacing w:line="480" w:lineRule="auto"/>
            </w:pPr>
            <w:proofErr w:type="spellStart"/>
            <w:r>
              <w:t>Delamanid</w:t>
            </w:r>
            <w:proofErr w:type="spellEnd"/>
            <w:r>
              <w:t xml:space="preserve"> plus BR</w:t>
            </w:r>
          </w:p>
        </w:tc>
        <w:tc>
          <w:tcPr>
            <w:tcW w:w="1976" w:type="dxa"/>
          </w:tcPr>
          <w:p w:rsidR="00E1415C" w:rsidRPr="007A5D8A" w:rsidRDefault="00E1415C" w:rsidP="00DE376E">
            <w:pPr>
              <w:spacing w:line="480" w:lineRule="auto"/>
            </w:pPr>
            <w:proofErr w:type="spellStart"/>
            <w:r>
              <w:t>Bedaquiline</w:t>
            </w:r>
            <w:proofErr w:type="spellEnd"/>
            <w:r>
              <w:t xml:space="preserve"> plus BR</w:t>
            </w:r>
          </w:p>
        </w:tc>
      </w:tr>
      <w:tr w:rsidR="00E1415C" w:rsidRPr="007A5D8A" w:rsidTr="00DE376E">
        <w:trPr>
          <w:trHeight w:val="645"/>
        </w:trPr>
        <w:tc>
          <w:tcPr>
            <w:tcW w:w="1791" w:type="dxa"/>
            <w:hideMark/>
          </w:tcPr>
          <w:p w:rsidR="00E1415C" w:rsidRPr="007A5D8A" w:rsidRDefault="00E1415C" w:rsidP="00DE376E">
            <w:pPr>
              <w:spacing w:line="480" w:lineRule="auto"/>
            </w:pPr>
            <w:r w:rsidRPr="007A5D8A">
              <w:t>Hospitalisation costs</w:t>
            </w:r>
          </w:p>
        </w:tc>
        <w:tc>
          <w:tcPr>
            <w:tcW w:w="1820" w:type="dxa"/>
            <w:vAlign w:val="center"/>
            <w:hideMark/>
          </w:tcPr>
          <w:p w:rsidR="00E1415C" w:rsidRPr="00D52BB6" w:rsidRDefault="00E1415C" w:rsidP="00DE376E">
            <w:pPr>
              <w:spacing w:line="480" w:lineRule="auto"/>
              <w:rPr>
                <w:rFonts w:cs="Arial"/>
              </w:rPr>
            </w:pPr>
            <w:r w:rsidRPr="00C85626">
              <w:rPr>
                <w:rFonts w:cs="Arial"/>
              </w:rPr>
              <w:t xml:space="preserve">€ 2,817,995 </w:t>
            </w:r>
            <w:r w:rsidRPr="00C85626">
              <w:rPr>
                <w:rFonts w:cs="Arial"/>
              </w:rPr>
              <w:br/>
              <w:t>[46.23%]</w:t>
            </w:r>
          </w:p>
        </w:tc>
        <w:tc>
          <w:tcPr>
            <w:tcW w:w="1794" w:type="dxa"/>
            <w:vAlign w:val="center"/>
          </w:tcPr>
          <w:p w:rsidR="00E1415C" w:rsidRPr="00D52BB6" w:rsidRDefault="00E1415C" w:rsidP="00DE376E">
            <w:pPr>
              <w:spacing w:line="480" w:lineRule="auto"/>
              <w:rPr>
                <w:rFonts w:cs="Arial"/>
              </w:rPr>
            </w:pPr>
            <w:r w:rsidRPr="00C85626">
              <w:rPr>
                <w:rFonts w:cs="Arial"/>
              </w:rPr>
              <w:t xml:space="preserve">€ 2,739,250 </w:t>
            </w:r>
            <w:r w:rsidRPr="00C85626">
              <w:rPr>
                <w:rFonts w:cs="Arial"/>
              </w:rPr>
              <w:br/>
              <w:t>[34.04%]</w:t>
            </w:r>
          </w:p>
        </w:tc>
        <w:tc>
          <w:tcPr>
            <w:tcW w:w="2003" w:type="dxa"/>
            <w:vAlign w:val="center"/>
          </w:tcPr>
          <w:p w:rsidR="00E1415C" w:rsidRPr="00C85626" w:rsidRDefault="00E1415C" w:rsidP="00DE376E">
            <w:pPr>
              <w:spacing w:line="480" w:lineRule="auto"/>
              <w:rPr>
                <w:rFonts w:cs="Arial"/>
              </w:rPr>
            </w:pPr>
            <w:r w:rsidRPr="00C85626">
              <w:rPr>
                <w:rFonts w:cs="Arial"/>
              </w:rPr>
              <w:t xml:space="preserve">€ 2,636,180 </w:t>
            </w:r>
          </w:p>
          <w:p w:rsidR="00E1415C" w:rsidRPr="00D52BB6" w:rsidRDefault="00E1415C" w:rsidP="00DE376E">
            <w:pPr>
              <w:spacing w:line="480" w:lineRule="auto"/>
              <w:rPr>
                <w:rFonts w:cs="Arial"/>
              </w:rPr>
            </w:pPr>
            <w:r w:rsidRPr="00C85626">
              <w:rPr>
                <w:rFonts w:cs="Arial"/>
              </w:rPr>
              <w:t>[32.51%]</w:t>
            </w:r>
          </w:p>
        </w:tc>
        <w:tc>
          <w:tcPr>
            <w:tcW w:w="1976" w:type="dxa"/>
            <w:vAlign w:val="center"/>
          </w:tcPr>
          <w:p w:rsidR="00E1415C" w:rsidRPr="00C85626" w:rsidRDefault="00E1415C" w:rsidP="00DE376E">
            <w:pPr>
              <w:spacing w:line="480" w:lineRule="auto"/>
              <w:rPr>
                <w:rFonts w:cs="Arial"/>
              </w:rPr>
            </w:pPr>
            <w:r w:rsidRPr="00C85626">
              <w:rPr>
                <w:rFonts w:cs="Arial"/>
              </w:rPr>
              <w:t>€ 2,403,791</w:t>
            </w:r>
          </w:p>
          <w:p w:rsidR="00E1415C" w:rsidRPr="00D52BB6" w:rsidRDefault="00E1415C" w:rsidP="00DE376E">
            <w:pPr>
              <w:spacing w:line="480" w:lineRule="auto"/>
              <w:rPr>
                <w:rFonts w:cs="Arial"/>
              </w:rPr>
            </w:pPr>
            <w:r w:rsidRPr="00C85626">
              <w:rPr>
                <w:rFonts w:cs="Arial"/>
              </w:rPr>
              <w:t xml:space="preserve"> [28.09%]</w:t>
            </w:r>
          </w:p>
        </w:tc>
      </w:tr>
      <w:tr w:rsidR="00E1415C" w:rsidRPr="007A5D8A" w:rsidTr="00DE376E">
        <w:trPr>
          <w:trHeight w:val="698"/>
        </w:trPr>
        <w:tc>
          <w:tcPr>
            <w:tcW w:w="1791" w:type="dxa"/>
            <w:hideMark/>
          </w:tcPr>
          <w:p w:rsidR="00E1415C" w:rsidRPr="007A5D8A" w:rsidRDefault="00E1415C" w:rsidP="00DE376E">
            <w:pPr>
              <w:spacing w:line="480" w:lineRule="auto"/>
            </w:pPr>
            <w:r w:rsidRPr="007A5D8A">
              <w:t>Outpatient care</w:t>
            </w:r>
          </w:p>
        </w:tc>
        <w:tc>
          <w:tcPr>
            <w:tcW w:w="1820" w:type="dxa"/>
            <w:vAlign w:val="center"/>
            <w:hideMark/>
          </w:tcPr>
          <w:p w:rsidR="00E1415C" w:rsidRPr="00D52BB6" w:rsidRDefault="00E1415C" w:rsidP="00DE376E">
            <w:pPr>
              <w:spacing w:line="480" w:lineRule="auto"/>
              <w:rPr>
                <w:rFonts w:cs="Arial"/>
              </w:rPr>
            </w:pPr>
            <w:r w:rsidRPr="00C85626">
              <w:rPr>
                <w:rFonts w:cs="Arial"/>
              </w:rPr>
              <w:t>€ 11,919</w:t>
            </w:r>
            <w:r w:rsidRPr="00C85626">
              <w:rPr>
                <w:rFonts w:cs="Arial"/>
              </w:rPr>
              <w:br/>
              <w:t xml:space="preserve"> [&lt;1%]</w:t>
            </w:r>
          </w:p>
        </w:tc>
        <w:tc>
          <w:tcPr>
            <w:tcW w:w="1794" w:type="dxa"/>
            <w:vAlign w:val="center"/>
          </w:tcPr>
          <w:p w:rsidR="00E1415C" w:rsidRPr="00D52BB6" w:rsidRDefault="00E1415C" w:rsidP="00DE376E">
            <w:pPr>
              <w:spacing w:line="480" w:lineRule="auto"/>
              <w:rPr>
                <w:rFonts w:cs="Arial"/>
              </w:rPr>
            </w:pPr>
            <w:r w:rsidRPr="00C85626">
              <w:rPr>
                <w:rFonts w:cs="Arial"/>
              </w:rPr>
              <w:t xml:space="preserve">€ 10,715 </w:t>
            </w:r>
            <w:r w:rsidRPr="00C85626">
              <w:rPr>
                <w:rFonts w:cs="Arial"/>
              </w:rPr>
              <w:br/>
              <w:t>[&lt;1%]</w:t>
            </w:r>
          </w:p>
        </w:tc>
        <w:tc>
          <w:tcPr>
            <w:tcW w:w="2003" w:type="dxa"/>
            <w:vAlign w:val="center"/>
          </w:tcPr>
          <w:p w:rsidR="00E1415C" w:rsidRPr="00D52BB6" w:rsidRDefault="00E1415C" w:rsidP="00DE376E">
            <w:pPr>
              <w:spacing w:line="480" w:lineRule="auto"/>
              <w:rPr>
                <w:rFonts w:cs="Arial"/>
              </w:rPr>
            </w:pPr>
            <w:r w:rsidRPr="00C85626">
              <w:rPr>
                <w:rFonts w:cs="Arial"/>
              </w:rPr>
              <w:t xml:space="preserve">€ 10,755 </w:t>
            </w:r>
            <w:r w:rsidRPr="00C85626">
              <w:rPr>
                <w:rFonts w:cs="Arial"/>
              </w:rPr>
              <w:br/>
              <w:t>[&lt;1%]</w:t>
            </w:r>
          </w:p>
        </w:tc>
        <w:tc>
          <w:tcPr>
            <w:tcW w:w="1976" w:type="dxa"/>
            <w:vAlign w:val="center"/>
          </w:tcPr>
          <w:p w:rsidR="00E1415C" w:rsidRPr="00D52BB6" w:rsidRDefault="00E1415C" w:rsidP="00DE376E">
            <w:pPr>
              <w:spacing w:line="480" w:lineRule="auto"/>
              <w:rPr>
                <w:rFonts w:cs="Arial"/>
              </w:rPr>
            </w:pPr>
            <w:r w:rsidRPr="00C85626">
              <w:rPr>
                <w:rFonts w:cs="Arial"/>
              </w:rPr>
              <w:t xml:space="preserve">€ 9,833 </w:t>
            </w:r>
            <w:r w:rsidRPr="00C85626">
              <w:rPr>
                <w:rFonts w:cs="Arial"/>
              </w:rPr>
              <w:br/>
              <w:t>[&lt;1%]</w:t>
            </w:r>
          </w:p>
        </w:tc>
      </w:tr>
      <w:tr w:rsidR="00E1415C" w:rsidRPr="007A5D8A" w:rsidTr="00DE376E">
        <w:trPr>
          <w:trHeight w:val="836"/>
        </w:trPr>
        <w:tc>
          <w:tcPr>
            <w:tcW w:w="1791" w:type="dxa"/>
            <w:hideMark/>
          </w:tcPr>
          <w:p w:rsidR="00E1415C" w:rsidRPr="007A5D8A" w:rsidRDefault="00E1415C" w:rsidP="00DE376E">
            <w:pPr>
              <w:spacing w:line="480" w:lineRule="auto"/>
            </w:pPr>
            <w:r w:rsidRPr="007A5D8A">
              <w:t>Anti-TB drugs</w:t>
            </w:r>
            <w:r>
              <w:br/>
              <w:t>(excluding group 5)</w:t>
            </w:r>
          </w:p>
        </w:tc>
        <w:tc>
          <w:tcPr>
            <w:tcW w:w="1820" w:type="dxa"/>
            <w:vAlign w:val="center"/>
            <w:hideMark/>
          </w:tcPr>
          <w:p w:rsidR="00E1415C" w:rsidRPr="00D52BB6" w:rsidRDefault="00E1415C" w:rsidP="00DE376E">
            <w:pPr>
              <w:spacing w:line="480" w:lineRule="auto"/>
              <w:rPr>
                <w:rFonts w:cs="Arial"/>
              </w:rPr>
            </w:pPr>
            <w:r w:rsidRPr="00C85626">
              <w:rPr>
                <w:rFonts w:cs="Arial"/>
              </w:rPr>
              <w:t xml:space="preserve">€ 3,026,959 </w:t>
            </w:r>
            <w:r w:rsidRPr="00C85626">
              <w:rPr>
                <w:rFonts w:cs="Arial"/>
              </w:rPr>
              <w:br/>
              <w:t>[49.65%]</w:t>
            </w:r>
          </w:p>
        </w:tc>
        <w:tc>
          <w:tcPr>
            <w:tcW w:w="1794" w:type="dxa"/>
            <w:vAlign w:val="center"/>
          </w:tcPr>
          <w:p w:rsidR="00E1415C" w:rsidRPr="00D52BB6" w:rsidRDefault="00E1415C" w:rsidP="00DE376E">
            <w:pPr>
              <w:spacing w:line="480" w:lineRule="auto"/>
              <w:rPr>
                <w:rFonts w:cs="Arial"/>
              </w:rPr>
            </w:pPr>
            <w:r w:rsidRPr="00C85626">
              <w:rPr>
                <w:rFonts w:cs="Arial"/>
              </w:rPr>
              <w:t xml:space="preserve">€ 2,996,842 </w:t>
            </w:r>
            <w:r w:rsidRPr="00C85626">
              <w:rPr>
                <w:rFonts w:cs="Arial"/>
              </w:rPr>
              <w:br/>
              <w:t>[37.25%]</w:t>
            </w:r>
          </w:p>
        </w:tc>
        <w:tc>
          <w:tcPr>
            <w:tcW w:w="2003" w:type="dxa"/>
            <w:vAlign w:val="center"/>
          </w:tcPr>
          <w:p w:rsidR="00E1415C" w:rsidRPr="00D52BB6" w:rsidRDefault="00E1415C" w:rsidP="00DE376E">
            <w:pPr>
              <w:spacing w:line="480" w:lineRule="auto"/>
              <w:rPr>
                <w:rFonts w:cs="Arial"/>
              </w:rPr>
            </w:pPr>
            <w:r w:rsidRPr="00C85626">
              <w:rPr>
                <w:rFonts w:cs="Arial"/>
              </w:rPr>
              <w:t xml:space="preserve">€ 2,962,563 </w:t>
            </w:r>
            <w:r w:rsidRPr="00C85626">
              <w:rPr>
                <w:rFonts w:cs="Arial"/>
              </w:rPr>
              <w:br/>
              <w:t>[36.54%]</w:t>
            </w:r>
          </w:p>
        </w:tc>
        <w:tc>
          <w:tcPr>
            <w:tcW w:w="1976" w:type="dxa"/>
            <w:vAlign w:val="center"/>
          </w:tcPr>
          <w:p w:rsidR="00E1415C" w:rsidRPr="00D52BB6" w:rsidRDefault="00E1415C" w:rsidP="00DE376E">
            <w:pPr>
              <w:spacing w:line="480" w:lineRule="auto"/>
              <w:rPr>
                <w:rFonts w:cs="Arial"/>
              </w:rPr>
            </w:pPr>
            <w:r w:rsidRPr="00C85626">
              <w:rPr>
                <w:rFonts w:cs="Arial"/>
              </w:rPr>
              <w:t xml:space="preserve">€ 2,865,240 </w:t>
            </w:r>
            <w:r w:rsidRPr="00C85626">
              <w:rPr>
                <w:rFonts w:cs="Arial"/>
              </w:rPr>
              <w:br/>
              <w:t>[33.48%]</w:t>
            </w:r>
          </w:p>
        </w:tc>
      </w:tr>
      <w:tr w:rsidR="00E1415C" w:rsidRPr="007A5D8A" w:rsidTr="00DE376E">
        <w:trPr>
          <w:trHeight w:val="706"/>
        </w:trPr>
        <w:tc>
          <w:tcPr>
            <w:tcW w:w="1791" w:type="dxa"/>
          </w:tcPr>
          <w:p w:rsidR="00E1415C" w:rsidRPr="007A5D8A" w:rsidRDefault="00E1415C" w:rsidP="00DE376E">
            <w:pPr>
              <w:spacing w:line="480" w:lineRule="auto"/>
            </w:pPr>
            <w:r w:rsidRPr="007A5D8A">
              <w:t xml:space="preserve">Anti-TB </w:t>
            </w:r>
            <w:r>
              <w:t xml:space="preserve">drugs </w:t>
            </w:r>
            <w:r>
              <w:br/>
              <w:t xml:space="preserve">group 5 </w:t>
            </w:r>
            <w:r w:rsidRPr="007A5D8A">
              <w:t>drugs</w:t>
            </w:r>
          </w:p>
        </w:tc>
        <w:tc>
          <w:tcPr>
            <w:tcW w:w="1820" w:type="dxa"/>
            <w:vAlign w:val="center"/>
          </w:tcPr>
          <w:p w:rsidR="00E1415C" w:rsidRPr="00D52BB6" w:rsidRDefault="00E1415C" w:rsidP="00DE376E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794" w:type="dxa"/>
            <w:vAlign w:val="center"/>
          </w:tcPr>
          <w:p w:rsidR="00E1415C" w:rsidRPr="00D52BB6" w:rsidRDefault="00E1415C" w:rsidP="00DE376E">
            <w:pPr>
              <w:spacing w:line="480" w:lineRule="auto"/>
              <w:rPr>
                <w:rFonts w:cs="Arial"/>
              </w:rPr>
            </w:pPr>
            <w:r w:rsidRPr="00C85626">
              <w:rPr>
                <w:rFonts w:cs="Arial"/>
              </w:rPr>
              <w:t xml:space="preserve">€ 2,030,217 </w:t>
            </w:r>
            <w:r w:rsidRPr="00C85626">
              <w:rPr>
                <w:rFonts w:cs="Arial"/>
              </w:rPr>
              <w:br/>
              <w:t>[25.23%]</w:t>
            </w:r>
          </w:p>
        </w:tc>
        <w:tc>
          <w:tcPr>
            <w:tcW w:w="2003" w:type="dxa"/>
            <w:vAlign w:val="center"/>
          </w:tcPr>
          <w:p w:rsidR="00E1415C" w:rsidRPr="00D52BB6" w:rsidRDefault="00E1415C" w:rsidP="00DE376E">
            <w:pPr>
              <w:spacing w:line="480" w:lineRule="auto"/>
              <w:rPr>
                <w:rFonts w:cs="Arial"/>
              </w:rPr>
            </w:pPr>
            <w:r w:rsidRPr="00C85626">
              <w:rPr>
                <w:rFonts w:cs="Arial"/>
              </w:rPr>
              <w:t xml:space="preserve">€ 2,282,920 </w:t>
            </w:r>
            <w:r w:rsidRPr="00C85626">
              <w:rPr>
                <w:rFonts w:cs="Arial"/>
              </w:rPr>
              <w:br/>
              <w:t>[28.16%]</w:t>
            </w:r>
          </w:p>
        </w:tc>
        <w:tc>
          <w:tcPr>
            <w:tcW w:w="1976" w:type="dxa"/>
            <w:vAlign w:val="center"/>
          </w:tcPr>
          <w:p w:rsidR="00E1415C" w:rsidRPr="00D52BB6" w:rsidRDefault="00E1415C" w:rsidP="00DE376E">
            <w:pPr>
              <w:spacing w:line="480" w:lineRule="auto"/>
              <w:rPr>
                <w:rFonts w:cs="Arial"/>
              </w:rPr>
            </w:pPr>
            <w:r w:rsidRPr="00C85626">
              <w:rPr>
                <w:rFonts w:cs="Arial"/>
              </w:rPr>
              <w:t xml:space="preserve">€ 3,079,915 </w:t>
            </w:r>
            <w:r w:rsidRPr="00C85626">
              <w:rPr>
                <w:rFonts w:cs="Arial"/>
              </w:rPr>
              <w:br/>
              <w:t>[35.99%]</w:t>
            </w:r>
          </w:p>
        </w:tc>
      </w:tr>
      <w:tr w:rsidR="00E1415C" w:rsidRPr="007A5D8A" w:rsidTr="00DE376E">
        <w:trPr>
          <w:trHeight w:val="674"/>
        </w:trPr>
        <w:tc>
          <w:tcPr>
            <w:tcW w:w="1791" w:type="dxa"/>
            <w:hideMark/>
          </w:tcPr>
          <w:p w:rsidR="00E1415C" w:rsidRPr="007A5D8A" w:rsidRDefault="00E1415C" w:rsidP="00DE376E">
            <w:pPr>
              <w:spacing w:line="480" w:lineRule="auto"/>
            </w:pPr>
            <w:r w:rsidRPr="007A5D8A">
              <w:t>Monitoring costs</w:t>
            </w:r>
          </w:p>
        </w:tc>
        <w:tc>
          <w:tcPr>
            <w:tcW w:w="1820" w:type="dxa"/>
            <w:vAlign w:val="center"/>
            <w:hideMark/>
          </w:tcPr>
          <w:p w:rsidR="00E1415C" w:rsidRPr="00D52BB6" w:rsidRDefault="00E1415C" w:rsidP="00DE376E">
            <w:pPr>
              <w:spacing w:line="480" w:lineRule="auto"/>
              <w:rPr>
                <w:rFonts w:cs="Arial"/>
              </w:rPr>
            </w:pPr>
            <w:r w:rsidRPr="00C85626">
              <w:rPr>
                <w:rFonts w:cs="Arial"/>
              </w:rPr>
              <w:t xml:space="preserve">€ 239,279 </w:t>
            </w:r>
            <w:r w:rsidRPr="00C85626">
              <w:rPr>
                <w:rFonts w:cs="Arial"/>
              </w:rPr>
              <w:br/>
              <w:t>[&lt;1%]</w:t>
            </w:r>
          </w:p>
        </w:tc>
        <w:tc>
          <w:tcPr>
            <w:tcW w:w="1794" w:type="dxa"/>
            <w:vAlign w:val="center"/>
          </w:tcPr>
          <w:p w:rsidR="00E1415C" w:rsidRPr="00D52BB6" w:rsidRDefault="00E1415C" w:rsidP="00DE376E">
            <w:pPr>
              <w:spacing w:line="480" w:lineRule="auto"/>
              <w:rPr>
                <w:rFonts w:cs="Arial"/>
              </w:rPr>
            </w:pPr>
            <w:r w:rsidRPr="00C85626">
              <w:rPr>
                <w:rFonts w:cs="Arial"/>
              </w:rPr>
              <w:t xml:space="preserve">€ 256,867 </w:t>
            </w:r>
            <w:r w:rsidRPr="00C85626">
              <w:rPr>
                <w:rFonts w:cs="Arial"/>
              </w:rPr>
              <w:br/>
              <w:t>[03.19%]</w:t>
            </w:r>
          </w:p>
        </w:tc>
        <w:tc>
          <w:tcPr>
            <w:tcW w:w="2003" w:type="dxa"/>
            <w:vAlign w:val="center"/>
          </w:tcPr>
          <w:p w:rsidR="00E1415C" w:rsidRPr="00D52BB6" w:rsidRDefault="00E1415C" w:rsidP="00DE376E">
            <w:pPr>
              <w:spacing w:line="480" w:lineRule="auto"/>
              <w:rPr>
                <w:rFonts w:cs="Arial"/>
              </w:rPr>
            </w:pPr>
            <w:r w:rsidRPr="00C85626">
              <w:rPr>
                <w:rFonts w:cs="Arial"/>
              </w:rPr>
              <w:t xml:space="preserve">€ 215,241 </w:t>
            </w:r>
            <w:r w:rsidRPr="00C85626">
              <w:rPr>
                <w:rFonts w:cs="Arial"/>
              </w:rPr>
              <w:br/>
              <w:t>[&lt;1%]</w:t>
            </w:r>
          </w:p>
        </w:tc>
        <w:tc>
          <w:tcPr>
            <w:tcW w:w="1976" w:type="dxa"/>
            <w:vAlign w:val="center"/>
          </w:tcPr>
          <w:p w:rsidR="00E1415C" w:rsidRPr="00D52BB6" w:rsidRDefault="00E1415C" w:rsidP="00DE376E">
            <w:pPr>
              <w:spacing w:line="480" w:lineRule="auto"/>
              <w:rPr>
                <w:rFonts w:cs="Arial"/>
              </w:rPr>
            </w:pPr>
            <w:r w:rsidRPr="00C85626">
              <w:rPr>
                <w:rFonts w:cs="Arial"/>
              </w:rPr>
              <w:t xml:space="preserve">€ 197,014 </w:t>
            </w:r>
            <w:r w:rsidRPr="00C85626">
              <w:rPr>
                <w:rFonts w:cs="Arial"/>
              </w:rPr>
              <w:br/>
              <w:t>[&lt;1%]</w:t>
            </w:r>
          </w:p>
        </w:tc>
      </w:tr>
      <w:tr w:rsidR="00E1415C" w:rsidRPr="007A5D8A" w:rsidTr="00DE376E">
        <w:trPr>
          <w:trHeight w:val="684"/>
        </w:trPr>
        <w:tc>
          <w:tcPr>
            <w:tcW w:w="1791" w:type="dxa"/>
          </w:tcPr>
          <w:p w:rsidR="00E1415C" w:rsidRPr="007A5D8A" w:rsidRDefault="00E1415C" w:rsidP="00DE376E">
            <w:pPr>
              <w:spacing w:line="480" w:lineRule="auto"/>
            </w:pPr>
            <w:r>
              <w:t>Treatment of</w:t>
            </w:r>
            <w:r>
              <w:br/>
              <w:t>adverse events costs</w:t>
            </w:r>
          </w:p>
        </w:tc>
        <w:tc>
          <w:tcPr>
            <w:tcW w:w="1820" w:type="dxa"/>
            <w:vAlign w:val="center"/>
          </w:tcPr>
          <w:p w:rsidR="00E1415C" w:rsidRPr="00D52BB6" w:rsidRDefault="00E1415C" w:rsidP="00DE376E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794" w:type="dxa"/>
            <w:vAlign w:val="center"/>
          </w:tcPr>
          <w:p w:rsidR="00E1415C" w:rsidRPr="00D52BB6" w:rsidRDefault="00E1415C" w:rsidP="00DE376E">
            <w:pPr>
              <w:spacing w:line="480" w:lineRule="auto"/>
              <w:rPr>
                <w:rFonts w:cs="Arial"/>
              </w:rPr>
            </w:pPr>
            <w:r w:rsidRPr="00C85626">
              <w:rPr>
                <w:rFonts w:cs="Arial"/>
              </w:rPr>
              <w:t>€ 12,091 [0.15%]</w:t>
            </w:r>
          </w:p>
        </w:tc>
        <w:tc>
          <w:tcPr>
            <w:tcW w:w="2003" w:type="dxa"/>
            <w:vAlign w:val="center"/>
          </w:tcPr>
          <w:p w:rsidR="00E1415C" w:rsidRPr="00D52BB6" w:rsidRDefault="00E1415C" w:rsidP="00DE376E">
            <w:pPr>
              <w:spacing w:line="480" w:lineRule="auto"/>
              <w:rPr>
                <w:rFonts w:cs="Arial"/>
              </w:rPr>
            </w:pPr>
            <w:r w:rsidRPr="00C85626">
              <w:rPr>
                <w:rFonts w:cs="Arial"/>
              </w:rPr>
              <w:t xml:space="preserve">€ 229 </w:t>
            </w:r>
            <w:r w:rsidRPr="00C85626">
              <w:rPr>
                <w:rFonts w:cs="Arial"/>
              </w:rPr>
              <w:br/>
              <w:t>[&lt;1%]</w:t>
            </w:r>
          </w:p>
        </w:tc>
        <w:tc>
          <w:tcPr>
            <w:tcW w:w="1976" w:type="dxa"/>
            <w:vAlign w:val="center"/>
          </w:tcPr>
          <w:p w:rsidR="00E1415C" w:rsidRPr="00D52BB6" w:rsidRDefault="00E1415C" w:rsidP="00DE376E">
            <w:pPr>
              <w:spacing w:line="480" w:lineRule="auto"/>
              <w:rPr>
                <w:rFonts w:cs="Arial"/>
              </w:rPr>
            </w:pPr>
            <w:r w:rsidRPr="00C85626">
              <w:rPr>
                <w:rFonts w:cs="Arial"/>
              </w:rPr>
              <w:t xml:space="preserve">€ 1,735 </w:t>
            </w:r>
            <w:r w:rsidRPr="00C85626">
              <w:rPr>
                <w:rFonts w:cs="Arial"/>
              </w:rPr>
              <w:br/>
              <w:t>[&lt;1%]</w:t>
            </w:r>
          </w:p>
        </w:tc>
      </w:tr>
      <w:tr w:rsidR="00E1415C" w:rsidRPr="007A5D8A" w:rsidTr="00DE376E">
        <w:trPr>
          <w:trHeight w:val="667"/>
        </w:trPr>
        <w:tc>
          <w:tcPr>
            <w:tcW w:w="1791" w:type="dxa"/>
            <w:hideMark/>
          </w:tcPr>
          <w:p w:rsidR="00E1415C" w:rsidRPr="007A5D8A" w:rsidRDefault="00E1415C" w:rsidP="00DE376E">
            <w:pPr>
              <w:spacing w:line="480" w:lineRule="auto"/>
            </w:pPr>
            <w:r w:rsidRPr="007A5D8A">
              <w:t>Total costs</w:t>
            </w:r>
          </w:p>
        </w:tc>
        <w:tc>
          <w:tcPr>
            <w:tcW w:w="1820" w:type="dxa"/>
            <w:vAlign w:val="center"/>
            <w:hideMark/>
          </w:tcPr>
          <w:p w:rsidR="00E1415C" w:rsidRPr="00D52BB6" w:rsidRDefault="00E1415C" w:rsidP="00DE376E">
            <w:pPr>
              <w:spacing w:line="480" w:lineRule="auto"/>
              <w:rPr>
                <w:rFonts w:cs="Arial"/>
              </w:rPr>
            </w:pPr>
            <w:r w:rsidRPr="00C85626">
              <w:rPr>
                <w:rFonts w:cs="Arial"/>
              </w:rPr>
              <w:t>€ 6,096,152</w:t>
            </w:r>
          </w:p>
        </w:tc>
        <w:tc>
          <w:tcPr>
            <w:tcW w:w="1794" w:type="dxa"/>
            <w:vAlign w:val="center"/>
          </w:tcPr>
          <w:p w:rsidR="00E1415C" w:rsidRPr="00D52BB6" w:rsidRDefault="00E1415C" w:rsidP="00DE376E">
            <w:pPr>
              <w:spacing w:line="480" w:lineRule="auto"/>
              <w:rPr>
                <w:rFonts w:cs="Arial"/>
              </w:rPr>
            </w:pPr>
            <w:r w:rsidRPr="00C85626">
              <w:rPr>
                <w:rFonts w:cs="Arial"/>
              </w:rPr>
              <w:t>€ 8,045,981</w:t>
            </w:r>
          </w:p>
        </w:tc>
        <w:tc>
          <w:tcPr>
            <w:tcW w:w="2003" w:type="dxa"/>
            <w:vAlign w:val="center"/>
          </w:tcPr>
          <w:p w:rsidR="00E1415C" w:rsidRPr="00D52BB6" w:rsidRDefault="00E1415C" w:rsidP="00DE376E">
            <w:pPr>
              <w:spacing w:line="480" w:lineRule="auto"/>
              <w:rPr>
                <w:rFonts w:cs="Arial"/>
              </w:rPr>
            </w:pPr>
            <w:r w:rsidRPr="00C85626">
              <w:rPr>
                <w:rFonts w:cs="Arial"/>
              </w:rPr>
              <w:t>€ 8,107,888</w:t>
            </w:r>
          </w:p>
        </w:tc>
        <w:tc>
          <w:tcPr>
            <w:tcW w:w="1976" w:type="dxa"/>
            <w:vAlign w:val="center"/>
          </w:tcPr>
          <w:p w:rsidR="00E1415C" w:rsidRPr="00D52BB6" w:rsidRDefault="00E1415C" w:rsidP="00DE376E">
            <w:pPr>
              <w:spacing w:line="480" w:lineRule="auto"/>
              <w:rPr>
                <w:rFonts w:cs="Arial"/>
              </w:rPr>
            </w:pPr>
            <w:r w:rsidRPr="00C85626">
              <w:rPr>
                <w:rFonts w:cs="Arial"/>
              </w:rPr>
              <w:t>€ 8,557,529</w:t>
            </w:r>
          </w:p>
        </w:tc>
      </w:tr>
    </w:tbl>
    <w:p w:rsidR="00127DA8" w:rsidRPr="00E1415C" w:rsidRDefault="00E1415C" w:rsidP="00E1415C">
      <w:pPr>
        <w:spacing w:line="480" w:lineRule="auto"/>
        <w:jc w:val="both"/>
        <w:rPr>
          <w:b/>
        </w:rPr>
      </w:pPr>
      <w:r w:rsidRPr="007A5D8A">
        <w:t>Costs reported in € and are 201</w:t>
      </w:r>
      <w:r>
        <w:t>5</w:t>
      </w:r>
      <w:r w:rsidRPr="007A5D8A">
        <w:t xml:space="preserve"> values. Values </w:t>
      </w:r>
      <w:r>
        <w:t>[</w:t>
      </w:r>
      <w:r w:rsidRPr="007A5D8A">
        <w:t>in brackets] show the overall percentage the specific cost contributes towards the total costs.</w:t>
      </w:r>
      <w:r>
        <w:tab/>
      </w:r>
      <w:r>
        <w:br/>
      </w:r>
      <w:r w:rsidRPr="00E1415C">
        <w:t>BR: Background regimen; MDR-TB</w:t>
      </w:r>
      <w:bookmarkStart w:id="0" w:name="_GoBack"/>
      <w:bookmarkEnd w:id="0"/>
      <w:r w:rsidRPr="00E1415C">
        <w:t xml:space="preserve">: Multidrug-resistant tuberculosis; </w:t>
      </w:r>
      <w:r w:rsidRPr="00E1415C">
        <w:tab/>
      </w:r>
      <w:r w:rsidR="00127DA8" w:rsidRPr="00E1415C">
        <w:t xml:space="preserve"> </w:t>
      </w:r>
    </w:p>
    <w:sectPr w:rsidR="00127DA8" w:rsidRPr="00E1415C" w:rsidSect="000B0C48">
      <w:pgSz w:w="16838" w:h="11906" w:orient="landscape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A8"/>
    <w:rsid w:val="000B0C48"/>
    <w:rsid w:val="00127DA8"/>
    <w:rsid w:val="007D48BF"/>
    <w:rsid w:val="00932110"/>
    <w:rsid w:val="00A90BAC"/>
    <w:rsid w:val="00E1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0B82"/>
  <w15:chartTrackingRefBased/>
  <w15:docId w15:val="{87D853DB-AA93-4560-87D1-02587DA9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aliases w:val="- H44"/>
    <w:qFormat/>
    <w:rsid w:val="00127DA8"/>
    <w:pPr>
      <w:keepLines/>
      <w:widowControl w:val="0"/>
      <w:spacing w:after="0" w:line="240" w:lineRule="auto"/>
    </w:pPr>
    <w:rPr>
      <w:rFonts w:ascii="Arial" w:eastAsia="Times New Roman" w:hAnsi="Arial" w:cs="Times New Roman"/>
      <w:color w:val="000000" w:themeColor="text1"/>
      <w:sz w:val="16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aliases w:val="- H17,Bayer Caption,IB Caption,Medical Caption,B Caption"/>
    <w:basedOn w:val="Textkrper"/>
    <w:next w:val="Textkrper"/>
    <w:uiPriority w:val="35"/>
    <w:qFormat/>
    <w:rsid w:val="00127DA8"/>
    <w:pPr>
      <w:keepNext/>
      <w:keepLines/>
      <w:widowControl w:val="0"/>
      <w:spacing w:before="360" w:line="240" w:lineRule="auto"/>
      <w:jc w:val="both"/>
    </w:pPr>
    <w:rPr>
      <w:rFonts w:ascii="Arial" w:eastAsia="Times New Roman" w:hAnsi="Arial" w:cs="Times New Roman"/>
      <w:b/>
      <w:bCs/>
      <w:color w:val="000000" w:themeColor="text1"/>
      <w:sz w:val="16"/>
      <w:szCs w:val="20"/>
      <w:lang w:val="en-GB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27DA8"/>
    <w:pPr>
      <w:keepLines w:val="0"/>
      <w:widowControl/>
      <w:spacing w:after="12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27DA8"/>
  </w:style>
  <w:style w:type="paragraph" w:customStyle="1" w:styleId="TableBodyText-H54">
    <w:name w:val="Table Body Text - H54"/>
    <w:basedOn w:val="Textkrper"/>
    <w:link w:val="TableBodyText-H54Char"/>
    <w:qFormat/>
    <w:rsid w:val="00127DA8"/>
    <w:pPr>
      <w:keepLines/>
      <w:widowControl w:val="0"/>
      <w:spacing w:before="40" w:after="40" w:line="240" w:lineRule="auto"/>
    </w:pPr>
    <w:rPr>
      <w:rFonts w:ascii="Arial" w:eastAsia="Times New Roman" w:hAnsi="Arial" w:cs="Times New Roman"/>
      <w:color w:val="000000" w:themeColor="text1"/>
      <w:sz w:val="16"/>
      <w:szCs w:val="20"/>
      <w:lang w:val="en-GB"/>
    </w:rPr>
  </w:style>
  <w:style w:type="character" w:customStyle="1" w:styleId="TableBodyText-H54Char">
    <w:name w:val="Table Body Text - H54 Char"/>
    <w:basedOn w:val="Absatz-Standardschriftart"/>
    <w:link w:val="TableBodyText-H54"/>
    <w:rsid w:val="00127DA8"/>
    <w:rPr>
      <w:rFonts w:ascii="Arial" w:eastAsia="Times New Roman" w:hAnsi="Arial" w:cs="Times New Roman"/>
      <w:color w:val="000000" w:themeColor="text1"/>
      <w:sz w:val="16"/>
      <w:szCs w:val="20"/>
      <w:lang w:val="en-GB"/>
    </w:rPr>
  </w:style>
  <w:style w:type="paragraph" w:customStyle="1" w:styleId="TableNote-H58">
    <w:name w:val="Table Note - H58"/>
    <w:basedOn w:val="Textkrper"/>
    <w:qFormat/>
    <w:rsid w:val="00127DA8"/>
    <w:pPr>
      <w:keepLines/>
      <w:tabs>
        <w:tab w:val="left" w:pos="680"/>
      </w:tabs>
      <w:spacing w:before="45" w:line="240" w:lineRule="auto"/>
      <w:jc w:val="both"/>
    </w:pPr>
    <w:rPr>
      <w:rFonts w:ascii="Arial" w:eastAsia="Times New Roman" w:hAnsi="Arial" w:cs="Times New Roman"/>
      <w:bCs/>
      <w:color w:val="000000" w:themeColor="text1"/>
      <w:sz w:val="12"/>
      <w:szCs w:val="12"/>
      <w:lang w:val="en-GB"/>
    </w:rPr>
  </w:style>
  <w:style w:type="table" w:styleId="Tabellenraster">
    <w:name w:val="Table Grid"/>
    <w:basedOn w:val="NormaleTabelle"/>
    <w:uiPriority w:val="59"/>
    <w:rsid w:val="00127DA8"/>
    <w:pPr>
      <w:spacing w:after="0" w:line="240" w:lineRule="auto"/>
    </w:pPr>
    <w:rPr>
      <w:rFonts w:ascii="Tahoma" w:eastAsia="Tahoma" w:hAnsi="Tahom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Wirth, Daniel [JACDE]</dc:creator>
  <cp:keywords/>
  <dc:description/>
  <cp:lastModifiedBy>Wirth, Daniel [JACDE]</cp:lastModifiedBy>
  <cp:revision>3</cp:revision>
  <dcterms:created xsi:type="dcterms:W3CDTF">2017-02-22T09:52:00Z</dcterms:created>
  <dcterms:modified xsi:type="dcterms:W3CDTF">2017-02-22T09:53:00Z</dcterms:modified>
</cp:coreProperties>
</file>