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0146D" w14:textId="77777777" w:rsidR="00337307" w:rsidRPr="00706465" w:rsidRDefault="00337307" w:rsidP="00337307">
      <w:pPr>
        <w:spacing w:after="0" w:line="240" w:lineRule="auto"/>
        <w:rPr>
          <w:rFonts w:cs="Times New Roman"/>
          <w:color w:val="171717" w:themeColor="background2" w:themeShade="1A"/>
        </w:rPr>
      </w:pPr>
      <w:r>
        <w:rPr>
          <w:rFonts w:cs="Times New Roman"/>
          <w:b/>
          <w:color w:val="171717" w:themeColor="background2" w:themeShade="1A"/>
          <w:sz w:val="28"/>
          <w:szCs w:val="28"/>
        </w:rPr>
        <w:t xml:space="preserve">Additional file </w:t>
      </w:r>
      <w:bookmarkStart w:id="0" w:name="_GoBack"/>
      <w:bookmarkEnd w:id="0"/>
      <w:r w:rsidRPr="00706465">
        <w:rPr>
          <w:rFonts w:cs="Times New Roman"/>
          <w:b/>
          <w:color w:val="171717" w:themeColor="background2" w:themeShade="1A"/>
          <w:sz w:val="28"/>
          <w:szCs w:val="28"/>
        </w:rPr>
        <w:t>2</w:t>
      </w:r>
      <w:r w:rsidRPr="00706465">
        <w:rPr>
          <w:rFonts w:cs="Times New Roman"/>
          <w:color w:val="171717" w:themeColor="background2" w:themeShade="1A"/>
          <w:sz w:val="28"/>
          <w:szCs w:val="28"/>
        </w:rPr>
        <w:t>. The RMI-Family Scoring template</w:t>
      </w:r>
    </w:p>
    <w:p w14:paraId="3FBC8618" w14:textId="77777777" w:rsidR="00337307" w:rsidRPr="00706465" w:rsidRDefault="00337307" w:rsidP="00337307">
      <w:pPr>
        <w:spacing w:after="0" w:line="240" w:lineRule="auto"/>
        <w:rPr>
          <w:rFonts w:cs="Times New Roman"/>
          <w:color w:val="171717" w:themeColor="background2" w:themeShade="1A"/>
        </w:rPr>
      </w:pPr>
    </w:p>
    <w:p w14:paraId="3E712128" w14:textId="77777777" w:rsidR="00337307" w:rsidRPr="00706465" w:rsidRDefault="00337307" w:rsidP="00337307">
      <w:pPr>
        <w:pStyle w:val="Heading2"/>
        <w:spacing w:before="0" w:line="240" w:lineRule="auto"/>
        <w:rPr>
          <w:color w:val="171717" w:themeColor="background2" w:themeShade="1A"/>
        </w:rPr>
      </w:pPr>
    </w:p>
    <w:p w14:paraId="1511DE97" w14:textId="77777777" w:rsidR="00337307" w:rsidRPr="00706465" w:rsidRDefault="00337307" w:rsidP="00337307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rPr>
          <w:rFonts w:cs="Times New Roman"/>
          <w:color w:val="171717" w:themeColor="background2" w:themeShade="1A"/>
        </w:rPr>
      </w:pPr>
      <w:r w:rsidRPr="00706465">
        <w:rPr>
          <w:rFonts w:cs="Times New Roman"/>
          <w:b/>
          <w:i/>
          <w:color w:val="171717" w:themeColor="background2" w:themeShade="1A"/>
        </w:rPr>
        <w:t>Abbreviations and subscripts</w:t>
      </w:r>
      <w:r w:rsidRPr="00706465">
        <w:rPr>
          <w:rFonts w:cs="Times New Roman"/>
          <w:color w:val="171717" w:themeColor="background2" w:themeShade="1A"/>
        </w:rPr>
        <w:t xml:space="preserve">: </w:t>
      </w:r>
    </w:p>
    <w:p w14:paraId="6994FF46" w14:textId="77777777" w:rsidR="00337307" w:rsidRPr="00706465" w:rsidRDefault="00337307" w:rsidP="00337307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rPr>
          <w:rFonts w:cs="Times New Roman"/>
          <w:color w:val="171717" w:themeColor="background2" w:themeShade="1A"/>
        </w:rPr>
      </w:pPr>
      <w:r w:rsidRPr="00706465">
        <w:rPr>
          <w:rFonts w:cs="Times New Roman"/>
          <w:color w:val="171717" w:themeColor="background2" w:themeShade="1A"/>
        </w:rPr>
        <w:t xml:space="preserve">Physical Activity = PA; Screen Time = ST; Treat Food = FT; Overeating = OE; </w:t>
      </w:r>
    </w:p>
    <w:p w14:paraId="14121805" w14:textId="77777777" w:rsidR="00337307" w:rsidRPr="00706465" w:rsidRDefault="00337307" w:rsidP="00337307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rPr>
          <w:rFonts w:cs="Times New Roman"/>
          <w:color w:val="171717" w:themeColor="background2" w:themeShade="1A"/>
        </w:rPr>
      </w:pPr>
      <w:r w:rsidRPr="00706465">
        <w:rPr>
          <w:rFonts w:cs="Times New Roman"/>
          <w:color w:val="171717" w:themeColor="background2" w:themeShade="1A"/>
        </w:rPr>
        <w:t>Eating Not Hungry =ENH</w:t>
      </w:r>
    </w:p>
    <w:p w14:paraId="15302766" w14:textId="77777777" w:rsidR="00337307" w:rsidRPr="00706465" w:rsidRDefault="00337307" w:rsidP="00337307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rPr>
          <w:rFonts w:cs="Times New Roman"/>
          <w:color w:val="171717" w:themeColor="background2" w:themeShade="1A"/>
        </w:rPr>
      </w:pPr>
    </w:p>
    <w:p w14:paraId="736434A4" w14:textId="77777777" w:rsidR="00337307" w:rsidRPr="00706465" w:rsidRDefault="00337307" w:rsidP="00337307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rPr>
          <w:rFonts w:cs="Times New Roman"/>
          <w:b/>
          <w:i/>
          <w:iCs/>
          <w:color w:val="171717" w:themeColor="background2" w:themeShade="1A"/>
          <w:vertAlign w:val="subscript"/>
        </w:rPr>
      </w:pPr>
      <w:r w:rsidRPr="00706465">
        <w:rPr>
          <w:rFonts w:cs="Times New Roman"/>
          <w:color w:val="171717" w:themeColor="background2" w:themeShade="1A"/>
        </w:rPr>
        <w:t xml:space="preserve">Examples: </w:t>
      </w:r>
      <w:r w:rsidRPr="00706465">
        <w:rPr>
          <w:rFonts w:cs="Times New Roman"/>
          <w:color w:val="171717" w:themeColor="background2" w:themeShade="1A"/>
        </w:rPr>
        <w:tab/>
      </w:r>
      <w:proofErr w:type="spellStart"/>
      <w:r w:rsidRPr="00706465">
        <w:rPr>
          <w:rFonts w:cs="Times New Roman"/>
          <w:b/>
          <w:i/>
          <w:iCs/>
          <w:color w:val="171717" w:themeColor="background2" w:themeShade="1A"/>
        </w:rPr>
        <w:t>Ch</w:t>
      </w:r>
      <w:r w:rsidRPr="00706465">
        <w:rPr>
          <w:rFonts w:cs="Times New Roman"/>
          <w:b/>
          <w:iCs/>
          <w:color w:val="171717" w:themeColor="background2" w:themeShade="1A"/>
        </w:rPr>
        <w:t>PA</w:t>
      </w:r>
      <w:r w:rsidRPr="00706465">
        <w:rPr>
          <w:rFonts w:cs="Times New Roman"/>
          <w:b/>
          <w:iCs/>
          <w:color w:val="171717" w:themeColor="background2" w:themeShade="1A"/>
          <w:vertAlign w:val="subscript"/>
        </w:rPr>
        <w:t>B</w:t>
      </w:r>
      <w:proofErr w:type="spellEnd"/>
      <w:r w:rsidRPr="00706465">
        <w:rPr>
          <w:rFonts w:cs="Times New Roman"/>
          <w:b/>
          <w:i/>
          <w:iCs/>
          <w:color w:val="171717" w:themeColor="background2" w:themeShade="1A"/>
          <w:vertAlign w:val="subscript"/>
        </w:rPr>
        <w:t xml:space="preserve"> </w:t>
      </w:r>
      <w:r w:rsidRPr="00706465">
        <w:rPr>
          <w:rFonts w:cs="Times New Roman"/>
          <w:color w:val="171717" w:themeColor="background2" w:themeShade="1A"/>
        </w:rPr>
        <w:t xml:space="preserve">refers to Youth interview, Physical activity domain, question B. </w:t>
      </w:r>
      <w:r w:rsidRPr="00706465">
        <w:rPr>
          <w:rFonts w:cs="Times New Roman"/>
          <w:b/>
          <w:i/>
          <w:iCs/>
          <w:color w:val="171717" w:themeColor="background2" w:themeShade="1A"/>
          <w:vertAlign w:val="subscript"/>
        </w:rPr>
        <w:t xml:space="preserve"> </w:t>
      </w:r>
    </w:p>
    <w:p w14:paraId="66446772" w14:textId="77777777" w:rsidR="00337307" w:rsidRPr="00706465" w:rsidRDefault="00337307" w:rsidP="00337307">
      <w:pPr>
        <w:pBdr>
          <w:top w:val="single" w:sz="4" w:space="1" w:color="auto" w:shadow="1"/>
          <w:left w:val="single" w:sz="4" w:space="2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rPr>
          <w:rFonts w:cs="Times New Roman"/>
          <w:b/>
          <w:i/>
          <w:iCs/>
          <w:color w:val="171717" w:themeColor="background2" w:themeShade="1A"/>
          <w:vertAlign w:val="subscript"/>
        </w:rPr>
      </w:pPr>
      <w:r w:rsidRPr="00706465">
        <w:rPr>
          <w:rFonts w:cs="Times New Roman"/>
          <w:b/>
          <w:i/>
          <w:iCs/>
          <w:color w:val="171717" w:themeColor="background2" w:themeShade="1A"/>
          <w:vertAlign w:val="subscript"/>
        </w:rPr>
        <w:tab/>
      </w:r>
      <w:r w:rsidRPr="00706465">
        <w:rPr>
          <w:rFonts w:cs="Times New Roman"/>
          <w:b/>
          <w:i/>
          <w:iCs/>
          <w:color w:val="171717" w:themeColor="background2" w:themeShade="1A"/>
          <w:vertAlign w:val="subscript"/>
        </w:rPr>
        <w:tab/>
      </w:r>
      <w:proofErr w:type="spellStart"/>
      <w:r w:rsidRPr="00706465">
        <w:rPr>
          <w:rFonts w:cs="Times New Roman"/>
          <w:b/>
          <w:i/>
          <w:color w:val="171717" w:themeColor="background2" w:themeShade="1A"/>
        </w:rPr>
        <w:t>Par</w:t>
      </w:r>
      <w:r w:rsidRPr="00706465">
        <w:rPr>
          <w:rFonts w:cs="Times New Roman"/>
          <w:b/>
          <w:color w:val="171717" w:themeColor="background2" w:themeShade="1A"/>
        </w:rPr>
        <w:t>OEc</w:t>
      </w:r>
      <w:proofErr w:type="spellEnd"/>
      <w:r w:rsidRPr="00706465">
        <w:rPr>
          <w:rFonts w:cs="Times New Roman"/>
          <w:b/>
          <w:color w:val="171717" w:themeColor="background2" w:themeShade="1A"/>
          <w:vertAlign w:val="subscript"/>
        </w:rPr>
        <w:t xml:space="preserve"> </w:t>
      </w:r>
      <w:r w:rsidRPr="00706465">
        <w:rPr>
          <w:rFonts w:cs="Times New Roman"/>
          <w:color w:val="171717" w:themeColor="background2" w:themeShade="1A"/>
        </w:rPr>
        <w:t>refers to Parent interview, Overeating domain, question C</w:t>
      </w:r>
    </w:p>
    <w:p w14:paraId="69416198" w14:textId="77777777" w:rsidR="00337307" w:rsidRPr="00706465" w:rsidRDefault="00337307" w:rsidP="00337307">
      <w:pPr>
        <w:spacing w:after="0" w:line="240" w:lineRule="auto"/>
        <w:ind w:left="720" w:firstLine="720"/>
        <w:rPr>
          <w:rFonts w:cs="Times New Roman"/>
          <w:b/>
          <w:color w:val="171717" w:themeColor="background2" w:themeShade="1A"/>
        </w:rPr>
      </w:pPr>
      <w:r w:rsidRPr="00706465">
        <w:rPr>
          <w:rFonts w:cs="Times New Roman"/>
          <w:color w:val="171717" w:themeColor="background2" w:themeShade="1A"/>
        </w:rPr>
        <w:t xml:space="preserve">. </w:t>
      </w:r>
      <w:r w:rsidRPr="00706465">
        <w:rPr>
          <w:rFonts w:cs="Times New Roman"/>
          <w:color w:val="171717" w:themeColor="background2" w:themeShade="1A"/>
        </w:rPr>
        <w:tab/>
      </w:r>
    </w:p>
    <w:p w14:paraId="0C49F49D" w14:textId="77777777" w:rsidR="00337307" w:rsidRPr="00706465" w:rsidRDefault="00337307" w:rsidP="00337307">
      <w:pPr>
        <w:spacing w:after="0" w:line="240" w:lineRule="auto"/>
        <w:rPr>
          <w:rFonts w:cs="Times New Roman"/>
          <w:b/>
          <w:color w:val="171717" w:themeColor="background2" w:themeShade="1A"/>
        </w:rPr>
      </w:pPr>
      <w:r w:rsidRPr="00706465">
        <w:rPr>
          <w:rFonts w:cs="Times New Roman"/>
          <w:b/>
          <w:color w:val="171717" w:themeColor="background2" w:themeShade="1A"/>
        </w:rPr>
        <w:t>1. Youth and Parent Motivation Sub-Scale Scores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695"/>
        <w:gridCol w:w="4665"/>
      </w:tblGrid>
      <w:tr w:rsidR="00337307" w:rsidRPr="00706465" w14:paraId="643196ED" w14:textId="77777777" w:rsidTr="0000058E">
        <w:tc>
          <w:tcPr>
            <w:tcW w:w="5168" w:type="dxa"/>
            <w:tcBorders>
              <w:top w:val="single" w:sz="12" w:space="0" w:color="000000"/>
              <w:bottom w:val="single" w:sz="12" w:space="0" w:color="000000"/>
            </w:tcBorders>
          </w:tcPr>
          <w:p w14:paraId="0C39F033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bCs/>
                <w:color w:val="171717" w:themeColor="background2" w:themeShade="1A"/>
              </w:rPr>
            </w:pPr>
            <w:r w:rsidRPr="00706465">
              <w:rPr>
                <w:rFonts w:cs="Times New Roman"/>
                <w:bCs/>
                <w:color w:val="171717" w:themeColor="background2" w:themeShade="1A"/>
              </w:rPr>
              <w:t xml:space="preserve">Youth Motivation Score (sum) </w:t>
            </w:r>
          </w:p>
        </w:tc>
        <w:tc>
          <w:tcPr>
            <w:tcW w:w="5134" w:type="dxa"/>
            <w:tcBorders>
              <w:top w:val="single" w:sz="12" w:space="0" w:color="000000"/>
              <w:bottom w:val="single" w:sz="12" w:space="0" w:color="000000"/>
            </w:tcBorders>
          </w:tcPr>
          <w:p w14:paraId="25C07ABE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bCs/>
                <w:color w:val="171717" w:themeColor="background2" w:themeShade="1A"/>
              </w:rPr>
            </w:pPr>
            <w:r w:rsidRPr="00706465">
              <w:rPr>
                <w:rFonts w:cs="Times New Roman"/>
                <w:bCs/>
                <w:color w:val="171717" w:themeColor="background2" w:themeShade="1A"/>
              </w:rPr>
              <w:t>Parent Motivation Score (sum)</w:t>
            </w:r>
          </w:p>
        </w:tc>
      </w:tr>
      <w:tr w:rsidR="00337307" w:rsidRPr="00706465" w14:paraId="65DB7CCB" w14:textId="77777777" w:rsidTr="0000058E">
        <w:tc>
          <w:tcPr>
            <w:tcW w:w="5168" w:type="dxa"/>
            <w:tcBorders>
              <w:top w:val="single" w:sz="12" w:space="0" w:color="000000"/>
              <w:bottom w:val="single" w:sz="12" w:space="0" w:color="000000"/>
            </w:tcBorders>
          </w:tcPr>
          <w:p w14:paraId="5D77DC03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i/>
                <w:iCs/>
                <w:color w:val="171717" w:themeColor="background2" w:themeShade="1A"/>
              </w:rPr>
            </w:pPr>
            <w:proofErr w:type="spellStart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>B</w:t>
            </w:r>
            <w:proofErr w:type="spellEnd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 xml:space="preserve">+ </w:t>
            </w:r>
            <w:proofErr w:type="spellStart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>C</w:t>
            </w:r>
            <w:proofErr w:type="spellEnd"/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(reverse scored)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 xml:space="preserve"> 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ab/>
              <w:t xml:space="preserve">= </w:t>
            </w:r>
          </w:p>
          <w:p w14:paraId="5A4037BB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i/>
                <w:iCs/>
                <w:color w:val="171717" w:themeColor="background2" w:themeShade="1A"/>
              </w:rPr>
            </w:pPr>
            <w:proofErr w:type="spellStart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ST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>B</w:t>
            </w:r>
            <w:proofErr w:type="spellEnd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 xml:space="preserve">+ </w:t>
            </w:r>
            <w:proofErr w:type="spellStart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ST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>C</w:t>
            </w:r>
            <w:proofErr w:type="spellEnd"/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 xml:space="preserve">(reverse scored) 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ab/>
              <w:t xml:space="preserve">= </w:t>
            </w:r>
          </w:p>
          <w:p w14:paraId="6CA6D633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i/>
                <w:iCs/>
                <w:color w:val="171717" w:themeColor="background2" w:themeShade="1A"/>
              </w:rPr>
            </w:pPr>
            <w:proofErr w:type="spellStart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TF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>B</w:t>
            </w:r>
            <w:proofErr w:type="spellEnd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 xml:space="preserve">+ </w:t>
            </w:r>
            <w:proofErr w:type="spellStart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TF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>C</w:t>
            </w:r>
            <w:proofErr w:type="spellEnd"/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(reverse scored)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 xml:space="preserve"> 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ab/>
              <w:t xml:space="preserve">= </w:t>
            </w:r>
          </w:p>
          <w:p w14:paraId="5774577D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i/>
                <w:iCs/>
                <w:color w:val="171717" w:themeColor="background2" w:themeShade="1A"/>
              </w:rPr>
            </w:pPr>
            <w:proofErr w:type="spellStart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OE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>B</w:t>
            </w:r>
            <w:proofErr w:type="spellEnd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 xml:space="preserve">+ </w:t>
            </w:r>
            <w:proofErr w:type="spellStart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OE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>C</w:t>
            </w:r>
            <w:proofErr w:type="spellEnd"/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(reverse scored)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 xml:space="preserve"> 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ab/>
              <w:t xml:space="preserve">= </w:t>
            </w:r>
          </w:p>
          <w:p w14:paraId="254D4515" w14:textId="77777777" w:rsidR="00337307" w:rsidRPr="00706465" w:rsidRDefault="00337307" w:rsidP="0000058E">
            <w:pPr>
              <w:pBdr>
                <w:bottom w:val="single" w:sz="12" w:space="1" w:color="auto"/>
              </w:pBdr>
              <w:spacing w:after="0" w:line="240" w:lineRule="auto"/>
              <w:rPr>
                <w:rFonts w:cs="Times New Roman"/>
                <w:b/>
                <w:i/>
                <w:iCs/>
                <w:color w:val="171717" w:themeColor="background2" w:themeShade="1A"/>
              </w:rPr>
            </w:pPr>
            <w:proofErr w:type="spellStart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ENH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>B</w:t>
            </w:r>
            <w:proofErr w:type="spellEnd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 xml:space="preserve">+ </w:t>
            </w:r>
            <w:proofErr w:type="spellStart"/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ENH</w:t>
            </w:r>
            <w:proofErr w:type="spellEnd"/>
            <w:r w:rsidRPr="00706465">
              <w:rPr>
                <w:rFonts w:cs="Times New Roman"/>
                <w:b/>
                <w:iCs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(reverse scored)</w:t>
            </w:r>
            <w:r w:rsidRPr="00706465">
              <w:rPr>
                <w:rFonts w:cs="Times New Roman"/>
                <w:b/>
                <w:i/>
                <w:iCs/>
                <w:color w:val="171717" w:themeColor="background2" w:themeShade="1A"/>
              </w:rPr>
              <w:t xml:space="preserve"> = </w:t>
            </w:r>
          </w:p>
          <w:p w14:paraId="205FF4F9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iCs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 xml:space="preserve">Total Youth Motivation Sub-Scale Score </w:t>
            </w:r>
          </w:p>
          <w:p w14:paraId="1C45ACBB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i/>
                <w:iCs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(Total score range: 10 – 50)</w:t>
            </w:r>
          </w:p>
        </w:tc>
        <w:tc>
          <w:tcPr>
            <w:tcW w:w="5134" w:type="dxa"/>
            <w:tcBorders>
              <w:top w:val="single" w:sz="12" w:space="0" w:color="000000"/>
              <w:bottom w:val="single" w:sz="12" w:space="0" w:color="000000"/>
            </w:tcBorders>
          </w:tcPr>
          <w:p w14:paraId="38004538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  <w:lang w:val="fr-FR"/>
              </w:rPr>
            </w:pP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B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 xml:space="preserve">+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C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+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D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ab/>
              <w:t xml:space="preserve">            = </w:t>
            </w:r>
          </w:p>
          <w:p w14:paraId="7D6C5386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  <w:lang w:val="fr-FR"/>
              </w:rPr>
            </w:pP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ST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B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 xml:space="preserve">+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ST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C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+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ST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D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ab/>
              <w:t xml:space="preserve">            = </w:t>
            </w:r>
          </w:p>
          <w:p w14:paraId="3FCD483F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  <w:lang w:val="fr-FR"/>
              </w:rPr>
            </w:pP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TF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B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 xml:space="preserve">+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TF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C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+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TF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D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ab/>
              <w:t xml:space="preserve">            = </w:t>
            </w:r>
          </w:p>
          <w:p w14:paraId="4159696F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  <w:lang w:val="fr-FR"/>
              </w:rPr>
            </w:pP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OE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B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 xml:space="preserve">+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OE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C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+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OE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D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ab/>
              <w:t xml:space="preserve">= </w:t>
            </w:r>
          </w:p>
          <w:p w14:paraId="1E2EAB48" w14:textId="77777777" w:rsidR="00337307" w:rsidRPr="00706465" w:rsidRDefault="00337307" w:rsidP="0000058E">
            <w:pPr>
              <w:pBdr>
                <w:bottom w:val="single" w:sz="12" w:space="1" w:color="auto"/>
              </w:pBdr>
              <w:spacing w:after="0" w:line="240" w:lineRule="auto"/>
              <w:rPr>
                <w:rFonts w:cs="Times New Roman"/>
                <w:b/>
                <w:color w:val="171717" w:themeColor="background2" w:themeShade="1A"/>
                <w:lang w:val="fr-FR"/>
              </w:rPr>
            </w:pP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ENH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B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 xml:space="preserve">+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ENH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C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+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 xml:space="preserve">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  <w:lang w:val="fr-FR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ENH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  <w:lang w:val="fr-FR"/>
              </w:rPr>
              <w:t>D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ab/>
              <w:t xml:space="preserve">= </w:t>
            </w:r>
          </w:p>
          <w:p w14:paraId="7F6DA878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  <w:lang w:val="fr-FR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 xml:space="preserve">Total Parent Motivation </w:t>
            </w:r>
            <w:proofErr w:type="spellStart"/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Sub-Scale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 xml:space="preserve"> Score</w:t>
            </w:r>
          </w:p>
          <w:p w14:paraId="2CE4F017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color w:val="171717" w:themeColor="background2" w:themeShade="1A"/>
                <w:lang w:val="fr-FR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 xml:space="preserve">(Total score </w:t>
            </w:r>
            <w:proofErr w:type="gramStart"/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>range:</w:t>
            </w:r>
            <w:proofErr w:type="gramEnd"/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 xml:space="preserve"> 15 – 45)</w:t>
            </w:r>
          </w:p>
        </w:tc>
      </w:tr>
    </w:tbl>
    <w:p w14:paraId="304F5ACD" w14:textId="77777777" w:rsidR="00337307" w:rsidRPr="00706465" w:rsidRDefault="00337307" w:rsidP="00337307">
      <w:pPr>
        <w:spacing w:after="0" w:line="240" w:lineRule="auto"/>
        <w:rPr>
          <w:rFonts w:cs="Times New Roman"/>
          <w:b/>
          <w:color w:val="171717" w:themeColor="background2" w:themeShade="1A"/>
          <w:lang w:val="fr-FR"/>
        </w:rPr>
      </w:pPr>
    </w:p>
    <w:p w14:paraId="6F5B4941" w14:textId="77777777" w:rsidR="00337307" w:rsidRPr="00706465" w:rsidRDefault="00337307" w:rsidP="00337307">
      <w:pPr>
        <w:spacing w:after="0" w:line="240" w:lineRule="auto"/>
        <w:rPr>
          <w:rFonts w:cs="Times New Roman"/>
          <w:b/>
          <w:color w:val="171717" w:themeColor="background2" w:themeShade="1A"/>
        </w:rPr>
      </w:pPr>
    </w:p>
    <w:p w14:paraId="1C163A34" w14:textId="77777777" w:rsidR="00337307" w:rsidRPr="00706465" w:rsidRDefault="00337307" w:rsidP="00337307">
      <w:pPr>
        <w:spacing w:after="0" w:line="240" w:lineRule="auto"/>
        <w:rPr>
          <w:rFonts w:cs="Times New Roman"/>
          <w:b/>
          <w:color w:val="171717" w:themeColor="background2" w:themeShade="1A"/>
        </w:rPr>
      </w:pPr>
    </w:p>
    <w:p w14:paraId="1BC38C79" w14:textId="77777777" w:rsidR="00337307" w:rsidRPr="00706465" w:rsidRDefault="00337307" w:rsidP="00337307">
      <w:pPr>
        <w:spacing w:after="0" w:line="240" w:lineRule="auto"/>
        <w:rPr>
          <w:rFonts w:cs="Times New Roman"/>
          <w:b/>
          <w:color w:val="171717" w:themeColor="background2" w:themeShade="1A"/>
        </w:rPr>
      </w:pPr>
      <w:r w:rsidRPr="00706465">
        <w:rPr>
          <w:rFonts w:cs="Times New Roman"/>
          <w:b/>
          <w:color w:val="171717" w:themeColor="background2" w:themeShade="1A"/>
        </w:rPr>
        <w:t>2a. Family Concordance Sub-Scale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37307" w:rsidRPr="00706465" w14:paraId="29CACA5E" w14:textId="77777777" w:rsidTr="0000058E">
        <w:tc>
          <w:tcPr>
            <w:tcW w:w="10302" w:type="dxa"/>
          </w:tcPr>
          <w:p w14:paraId="37F0BE8C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</w:rPr>
              <w:t>Family (sum)</w:t>
            </w:r>
          </w:p>
        </w:tc>
      </w:tr>
      <w:tr w:rsidR="00337307" w:rsidRPr="00706465" w14:paraId="7858E730" w14:textId="77777777" w:rsidTr="0000058E">
        <w:tc>
          <w:tcPr>
            <w:tcW w:w="10302" w:type="dxa"/>
          </w:tcPr>
          <w:p w14:paraId="63C232E4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color w:val="171717" w:themeColor="background2" w:themeShade="1A"/>
              </w:rPr>
            </w:pPr>
            <w:r w:rsidRPr="00706465">
              <w:rPr>
                <w:rFonts w:cs="Times New Roman"/>
                <w:color w:val="171717" w:themeColor="background2" w:themeShade="1A"/>
              </w:rPr>
              <w:t xml:space="preserve">If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 =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, </w:t>
            </w:r>
            <w:r w:rsidRPr="00706465">
              <w:rPr>
                <w:rFonts w:cs="Times New Roman"/>
                <w:i/>
                <w:color w:val="171717" w:themeColor="background2" w:themeShade="1A"/>
              </w:rPr>
              <w:t>Concordance Family</w:t>
            </w:r>
            <w:r w:rsidRPr="00706465">
              <w:rPr>
                <w:rFonts w:cs="Times New Roman"/>
                <w:color w:val="171717" w:themeColor="background2" w:themeShade="1A"/>
              </w:rPr>
              <w:t xml:space="preserve"> PA = 1; If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 ≠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, </w:t>
            </w:r>
            <w:r w:rsidRPr="00706465">
              <w:rPr>
                <w:rFonts w:cs="Times New Roman"/>
                <w:i/>
                <w:color w:val="171717" w:themeColor="background2" w:themeShade="1A"/>
              </w:rPr>
              <w:t xml:space="preserve">Concordance Family </w:t>
            </w:r>
            <w:r w:rsidRPr="00706465">
              <w:rPr>
                <w:rFonts w:cs="Times New Roman"/>
                <w:color w:val="171717" w:themeColor="background2" w:themeShade="1A"/>
              </w:rPr>
              <w:t xml:space="preserve">PA = 0  </w:t>
            </w:r>
          </w:p>
          <w:p w14:paraId="2C273E41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color w:val="171717" w:themeColor="background2" w:themeShade="1A"/>
              </w:rPr>
            </w:pPr>
            <w:r w:rsidRPr="00706465">
              <w:rPr>
                <w:rFonts w:cs="Times New Roman"/>
                <w:color w:val="171717" w:themeColor="background2" w:themeShade="1A"/>
              </w:rPr>
              <w:t xml:space="preserve">                                                                               +</w:t>
            </w:r>
          </w:p>
          <w:p w14:paraId="788C0CE4" w14:textId="77777777" w:rsidR="00337307" w:rsidRPr="00706465" w:rsidRDefault="00337307" w:rsidP="0000058E">
            <w:pPr>
              <w:pBdr>
                <w:bottom w:val="single" w:sz="12" w:space="1" w:color="auto"/>
              </w:pBdr>
              <w:spacing w:after="0" w:line="240" w:lineRule="auto"/>
              <w:rPr>
                <w:rFonts w:cs="Times New Roman"/>
                <w:b/>
                <w:color w:val="171717" w:themeColor="background2" w:themeShade="1A"/>
                <w:vertAlign w:val="subscript"/>
              </w:rPr>
            </w:pPr>
            <w:r w:rsidRPr="00706465">
              <w:rPr>
                <w:rFonts w:cs="Times New Roman"/>
                <w:color w:val="171717" w:themeColor="background2" w:themeShade="1A"/>
              </w:rPr>
              <w:t>Absolute value of difference between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 xml:space="preserve"> [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B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color w:val="171717" w:themeColor="background2" w:themeShade="1A"/>
              </w:rPr>
              <w:t>and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 xml:space="preserve">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B</w:t>
            </w:r>
            <w:proofErr w:type="spellEnd"/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] (reverse scored)</w:t>
            </w:r>
          </w:p>
          <w:p w14:paraId="2FD77965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</w:rPr>
              <w:t>PA Family Concordance Sub-Scale Score</w:t>
            </w:r>
          </w:p>
        </w:tc>
      </w:tr>
    </w:tbl>
    <w:p w14:paraId="05AA11EE" w14:textId="77777777" w:rsidR="00337307" w:rsidRPr="00706465" w:rsidRDefault="00337307" w:rsidP="00337307">
      <w:pPr>
        <w:spacing w:after="0" w:line="240" w:lineRule="auto"/>
        <w:ind w:left="720" w:hanging="720"/>
        <w:rPr>
          <w:rFonts w:cs="Times New Roman"/>
          <w:color w:val="171717" w:themeColor="background2" w:themeShade="1A"/>
        </w:rPr>
      </w:pPr>
      <w:r w:rsidRPr="00706465">
        <w:rPr>
          <w:rFonts w:cs="Times New Roman"/>
          <w:i/>
          <w:color w:val="171717" w:themeColor="background2" w:themeShade="1A"/>
        </w:rPr>
        <w:t>Note:</w:t>
      </w:r>
      <w:r w:rsidRPr="00706465">
        <w:rPr>
          <w:rFonts w:cs="Times New Roman"/>
          <w:color w:val="171717" w:themeColor="background2" w:themeShade="1A"/>
        </w:rPr>
        <w:t xml:space="preserve"> </w:t>
      </w:r>
      <w:r w:rsidRPr="00706465">
        <w:rPr>
          <w:rFonts w:cs="Times New Roman"/>
          <w:color w:val="171717" w:themeColor="background2" w:themeShade="1A"/>
        </w:rPr>
        <w:tab/>
        <w:t>Total Family Concordance Sub-Scale Score is the sum of PA, ST, T, OE and ENH Family Concordance scores. Total score range: 5 – 25.</w:t>
      </w:r>
    </w:p>
    <w:p w14:paraId="687E83BE" w14:textId="77777777" w:rsidR="00337307" w:rsidRPr="00706465" w:rsidRDefault="00337307" w:rsidP="00337307">
      <w:pPr>
        <w:spacing w:after="0" w:line="240" w:lineRule="auto"/>
        <w:rPr>
          <w:rFonts w:cs="Times New Roman"/>
          <w:b/>
          <w:color w:val="171717" w:themeColor="background2" w:themeShade="1A"/>
          <w:sz w:val="16"/>
          <w:szCs w:val="16"/>
        </w:rPr>
      </w:pPr>
    </w:p>
    <w:p w14:paraId="5890F746" w14:textId="77777777" w:rsidR="00337307" w:rsidRPr="00706465" w:rsidRDefault="00337307" w:rsidP="00337307">
      <w:pPr>
        <w:spacing w:after="0" w:line="240" w:lineRule="auto"/>
        <w:rPr>
          <w:rFonts w:cs="Times New Roman"/>
          <w:b/>
          <w:color w:val="171717" w:themeColor="background2" w:themeShade="1A"/>
        </w:rPr>
      </w:pPr>
      <w:r w:rsidRPr="00706465">
        <w:rPr>
          <w:rFonts w:cs="Times New Roman"/>
          <w:b/>
          <w:color w:val="171717" w:themeColor="background2" w:themeShade="1A"/>
        </w:rPr>
        <w:t>2b. Youth and Parent Within Concordance Sub-Scale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37307" w:rsidRPr="00706465" w14:paraId="44635ED2" w14:textId="77777777" w:rsidTr="0000058E">
        <w:tc>
          <w:tcPr>
            <w:tcW w:w="10302" w:type="dxa"/>
          </w:tcPr>
          <w:p w14:paraId="4C6B1DCF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</w:rPr>
              <w:t>Youth Within (sum)</w:t>
            </w:r>
          </w:p>
        </w:tc>
      </w:tr>
      <w:tr w:rsidR="00337307" w:rsidRPr="00706465" w14:paraId="257478C6" w14:textId="77777777" w:rsidTr="0000058E">
        <w:tc>
          <w:tcPr>
            <w:tcW w:w="10302" w:type="dxa"/>
          </w:tcPr>
          <w:p w14:paraId="33398936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color w:val="171717" w:themeColor="background2" w:themeShade="1A"/>
              </w:rPr>
            </w:pPr>
            <w:r w:rsidRPr="00706465">
              <w:rPr>
                <w:rFonts w:cs="Times New Roman"/>
                <w:color w:val="171717" w:themeColor="background2" w:themeShade="1A"/>
              </w:rPr>
              <w:t xml:space="preserve">If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 = </w:t>
            </w:r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 xml:space="preserve">Youth estimate of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, </w:t>
            </w:r>
            <w:r w:rsidRPr="00706465">
              <w:rPr>
                <w:rFonts w:cs="Times New Roman"/>
                <w:i/>
                <w:color w:val="171717" w:themeColor="background2" w:themeShade="1A"/>
              </w:rPr>
              <w:t>Concordance Youth</w:t>
            </w:r>
            <w:r w:rsidRPr="00706465">
              <w:rPr>
                <w:rFonts w:cs="Times New Roman"/>
                <w:color w:val="171717" w:themeColor="background2" w:themeShade="1A"/>
              </w:rPr>
              <w:t xml:space="preserve"> </w:t>
            </w:r>
            <w:r w:rsidRPr="00706465">
              <w:rPr>
                <w:rFonts w:cs="Times New Roman"/>
                <w:i/>
                <w:color w:val="171717" w:themeColor="background2" w:themeShade="1A"/>
              </w:rPr>
              <w:t>Within</w:t>
            </w:r>
            <w:r w:rsidRPr="00706465">
              <w:rPr>
                <w:rFonts w:cs="Times New Roman"/>
                <w:color w:val="171717" w:themeColor="background2" w:themeShade="1A"/>
              </w:rPr>
              <w:t xml:space="preserve"> PA = 1; If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 ≠ </w:t>
            </w:r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 xml:space="preserve">Youth estimate of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, </w:t>
            </w:r>
            <w:r w:rsidRPr="00706465">
              <w:rPr>
                <w:rFonts w:cs="Times New Roman"/>
                <w:i/>
                <w:color w:val="171717" w:themeColor="background2" w:themeShade="1A"/>
              </w:rPr>
              <w:t>Concordance Youth Within</w:t>
            </w:r>
            <w:r w:rsidRPr="00706465">
              <w:rPr>
                <w:rFonts w:cs="Times New Roman"/>
                <w:color w:val="171717" w:themeColor="background2" w:themeShade="1A"/>
              </w:rPr>
              <w:t xml:space="preserve"> PA = 0  </w:t>
            </w:r>
          </w:p>
          <w:p w14:paraId="4151BE2D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color w:val="171717" w:themeColor="background2" w:themeShade="1A"/>
              </w:rPr>
            </w:pPr>
            <w:r w:rsidRPr="00706465">
              <w:rPr>
                <w:rFonts w:cs="Times New Roman"/>
                <w:color w:val="171717" w:themeColor="background2" w:themeShade="1A"/>
              </w:rPr>
              <w:t xml:space="preserve">                                                                               +</w:t>
            </w:r>
          </w:p>
          <w:p w14:paraId="77F98ADA" w14:textId="77777777" w:rsidR="00337307" w:rsidRPr="00706465" w:rsidRDefault="00337307" w:rsidP="0000058E">
            <w:pPr>
              <w:pBdr>
                <w:bottom w:val="single" w:sz="12" w:space="1" w:color="auto"/>
              </w:pBdr>
              <w:spacing w:after="0" w:line="240" w:lineRule="auto"/>
              <w:rPr>
                <w:rFonts w:cs="Times New Roman"/>
                <w:b/>
                <w:color w:val="171717" w:themeColor="background2" w:themeShade="1A"/>
                <w:vertAlign w:val="subscript"/>
              </w:rPr>
            </w:pPr>
            <w:r w:rsidRPr="00706465">
              <w:rPr>
                <w:rFonts w:cs="Times New Roman"/>
                <w:color w:val="171717" w:themeColor="background2" w:themeShade="1A"/>
              </w:rPr>
              <w:t>Absolute value of difference between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 xml:space="preserve"> [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B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color w:val="171717" w:themeColor="background2" w:themeShade="1A"/>
              </w:rPr>
              <w:t>and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 xml:space="preserve"> </w:t>
            </w:r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Youth estimate of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 xml:space="preserve">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B</w:t>
            </w:r>
            <w:proofErr w:type="spellEnd"/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] (reverse scored)</w:t>
            </w:r>
          </w:p>
          <w:p w14:paraId="3B50CA7A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</w:rPr>
              <w:t>PA Youth Within Concordance Sub-Scale Score</w:t>
            </w:r>
          </w:p>
        </w:tc>
      </w:tr>
    </w:tbl>
    <w:p w14:paraId="0049FE3A" w14:textId="77777777" w:rsidR="00337307" w:rsidRPr="00706465" w:rsidRDefault="00337307" w:rsidP="00337307">
      <w:pPr>
        <w:spacing w:after="0" w:line="240" w:lineRule="auto"/>
        <w:ind w:left="720" w:hanging="720"/>
        <w:rPr>
          <w:rFonts w:cs="Times New Roman"/>
          <w:color w:val="171717" w:themeColor="background2" w:themeShade="1A"/>
        </w:rPr>
      </w:pPr>
      <w:r w:rsidRPr="00706465">
        <w:rPr>
          <w:rFonts w:cs="Times New Roman"/>
          <w:i/>
          <w:color w:val="171717" w:themeColor="background2" w:themeShade="1A"/>
        </w:rPr>
        <w:t>Note</w:t>
      </w:r>
      <w:r w:rsidRPr="00706465">
        <w:rPr>
          <w:rFonts w:cs="Times New Roman"/>
          <w:color w:val="171717" w:themeColor="background2" w:themeShade="1A"/>
        </w:rPr>
        <w:t xml:space="preserve">: </w:t>
      </w:r>
      <w:r w:rsidRPr="00706465">
        <w:rPr>
          <w:rFonts w:cs="Times New Roman"/>
          <w:color w:val="171717" w:themeColor="background2" w:themeShade="1A"/>
        </w:rPr>
        <w:tab/>
        <w:t>Total Youth Within Concordance Sub-Scale Score is the sum of PA, ST, T, OE and ENH Youth Within Concordance scores. Total score range: 5 – 25.</w:t>
      </w:r>
    </w:p>
    <w:p w14:paraId="31AAB6B0" w14:textId="77777777" w:rsidR="00337307" w:rsidRPr="00706465" w:rsidRDefault="00337307" w:rsidP="00337307">
      <w:pPr>
        <w:spacing w:after="0" w:line="240" w:lineRule="auto"/>
        <w:rPr>
          <w:rFonts w:cs="Times New Roman"/>
          <w:color w:val="171717" w:themeColor="background2" w:themeShade="1A"/>
        </w:rPr>
      </w:pPr>
    </w:p>
    <w:p w14:paraId="7D2F3994" w14:textId="77777777" w:rsidR="00337307" w:rsidRPr="00706465" w:rsidRDefault="00337307" w:rsidP="00337307">
      <w:pPr>
        <w:spacing w:after="0" w:line="240" w:lineRule="auto"/>
        <w:rPr>
          <w:rFonts w:cs="Times New Roman"/>
          <w:color w:val="171717" w:themeColor="background2" w:themeShade="1A"/>
        </w:rPr>
      </w:pPr>
    </w:p>
    <w:p w14:paraId="17C0E179" w14:textId="77777777" w:rsidR="00337307" w:rsidRPr="00706465" w:rsidRDefault="00337307" w:rsidP="00337307">
      <w:pPr>
        <w:spacing w:after="0" w:line="240" w:lineRule="auto"/>
        <w:rPr>
          <w:rFonts w:cs="Times New Roman"/>
          <w:color w:val="171717" w:themeColor="background2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37307" w:rsidRPr="00706465" w14:paraId="756273A6" w14:textId="77777777" w:rsidTr="0000058E">
        <w:tc>
          <w:tcPr>
            <w:tcW w:w="10302" w:type="dxa"/>
          </w:tcPr>
          <w:p w14:paraId="5D96986D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</w:rPr>
              <w:lastRenderedPageBreak/>
              <w:t>Parent Within (sum)</w:t>
            </w:r>
          </w:p>
        </w:tc>
      </w:tr>
      <w:tr w:rsidR="00337307" w:rsidRPr="00706465" w14:paraId="27F4E1A6" w14:textId="77777777" w:rsidTr="0000058E">
        <w:tc>
          <w:tcPr>
            <w:tcW w:w="10302" w:type="dxa"/>
          </w:tcPr>
          <w:p w14:paraId="5CFB9047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color w:val="171717" w:themeColor="background2" w:themeShade="1A"/>
              </w:rPr>
            </w:pPr>
            <w:r w:rsidRPr="00706465">
              <w:rPr>
                <w:rFonts w:cs="Times New Roman"/>
                <w:color w:val="171717" w:themeColor="background2" w:themeShade="1A"/>
              </w:rPr>
              <w:t xml:space="preserve">If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 = </w:t>
            </w:r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 xml:space="preserve">Parent estimate of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, </w:t>
            </w:r>
            <w:r w:rsidRPr="00706465">
              <w:rPr>
                <w:rFonts w:cs="Times New Roman"/>
                <w:i/>
                <w:color w:val="171717" w:themeColor="background2" w:themeShade="1A"/>
              </w:rPr>
              <w:t>Concordance Parent Within</w:t>
            </w:r>
            <w:r w:rsidRPr="00706465">
              <w:rPr>
                <w:rFonts w:cs="Times New Roman"/>
                <w:color w:val="171717" w:themeColor="background2" w:themeShade="1A"/>
              </w:rPr>
              <w:t xml:space="preserve"> PA = 1; If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 ≠ </w:t>
            </w:r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 xml:space="preserve">Parent estimate of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A</w:t>
            </w:r>
            <w:proofErr w:type="spellEnd"/>
            <w:r w:rsidRPr="00706465">
              <w:rPr>
                <w:rFonts w:cs="Times New Roman"/>
                <w:color w:val="171717" w:themeColor="background2" w:themeShade="1A"/>
              </w:rPr>
              <w:t xml:space="preserve">, </w:t>
            </w:r>
            <w:r w:rsidRPr="00706465">
              <w:rPr>
                <w:rFonts w:cs="Times New Roman"/>
                <w:i/>
                <w:color w:val="171717" w:themeColor="background2" w:themeShade="1A"/>
              </w:rPr>
              <w:t>Concordance Parent Within</w:t>
            </w:r>
            <w:r w:rsidRPr="00706465">
              <w:rPr>
                <w:rFonts w:cs="Times New Roman"/>
                <w:color w:val="171717" w:themeColor="background2" w:themeShade="1A"/>
              </w:rPr>
              <w:t xml:space="preserve"> PA = 0  </w:t>
            </w:r>
          </w:p>
          <w:p w14:paraId="39DAE011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color w:val="171717" w:themeColor="background2" w:themeShade="1A"/>
              </w:rPr>
            </w:pPr>
            <w:r w:rsidRPr="00706465">
              <w:rPr>
                <w:rFonts w:cs="Times New Roman"/>
                <w:color w:val="171717" w:themeColor="background2" w:themeShade="1A"/>
              </w:rPr>
              <w:t xml:space="preserve">                                                                               +</w:t>
            </w:r>
          </w:p>
          <w:p w14:paraId="1CD2B1B6" w14:textId="77777777" w:rsidR="00337307" w:rsidRPr="00706465" w:rsidRDefault="00337307" w:rsidP="0000058E">
            <w:pPr>
              <w:pBdr>
                <w:bottom w:val="single" w:sz="12" w:space="1" w:color="auto"/>
              </w:pBdr>
              <w:spacing w:after="0" w:line="240" w:lineRule="auto"/>
              <w:rPr>
                <w:rFonts w:cs="Times New Roman"/>
                <w:b/>
                <w:color w:val="171717" w:themeColor="background2" w:themeShade="1A"/>
                <w:vertAlign w:val="subscript"/>
              </w:rPr>
            </w:pPr>
            <w:r w:rsidRPr="00706465">
              <w:rPr>
                <w:rFonts w:cs="Times New Roman"/>
                <w:color w:val="171717" w:themeColor="background2" w:themeShade="1A"/>
              </w:rPr>
              <w:t>Absolute value of difference between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 xml:space="preserve"> [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Par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B</w:t>
            </w:r>
            <w:proofErr w:type="spellEnd"/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 xml:space="preserve"> </w:t>
            </w:r>
            <w:r w:rsidRPr="00706465">
              <w:rPr>
                <w:rFonts w:cs="Times New Roman"/>
                <w:color w:val="171717" w:themeColor="background2" w:themeShade="1A"/>
              </w:rPr>
              <w:t>and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 xml:space="preserve"> </w:t>
            </w:r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Parent estimate of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 xml:space="preserve"> </w:t>
            </w:r>
            <w:proofErr w:type="spellStart"/>
            <w:r w:rsidRPr="00706465">
              <w:rPr>
                <w:rFonts w:cs="Times New Roman"/>
                <w:b/>
                <w:i/>
                <w:color w:val="171717" w:themeColor="background2" w:themeShade="1A"/>
              </w:rPr>
              <w:t>Ch</w:t>
            </w:r>
            <w:r w:rsidRPr="00706465">
              <w:rPr>
                <w:rFonts w:cs="Times New Roman"/>
                <w:b/>
                <w:color w:val="171717" w:themeColor="background2" w:themeShade="1A"/>
              </w:rPr>
              <w:t>PA</w:t>
            </w:r>
            <w:r w:rsidRPr="00706465">
              <w:rPr>
                <w:rFonts w:cs="Times New Roman"/>
                <w:b/>
                <w:color w:val="171717" w:themeColor="background2" w:themeShade="1A"/>
                <w:vertAlign w:val="subscript"/>
              </w:rPr>
              <w:t>B</w:t>
            </w:r>
            <w:proofErr w:type="spellEnd"/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] (reverse scored)</w:t>
            </w:r>
          </w:p>
          <w:p w14:paraId="59F85C2C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</w:rPr>
              <w:t>PA Parent Within Concordance Sub-Scale Score</w:t>
            </w:r>
          </w:p>
        </w:tc>
      </w:tr>
    </w:tbl>
    <w:p w14:paraId="788152BA" w14:textId="77777777" w:rsidR="00337307" w:rsidRPr="00706465" w:rsidRDefault="00337307" w:rsidP="00337307">
      <w:pPr>
        <w:spacing w:after="0" w:line="240" w:lineRule="auto"/>
        <w:ind w:left="720" w:hanging="720"/>
        <w:rPr>
          <w:rFonts w:cs="Times New Roman"/>
          <w:color w:val="171717" w:themeColor="background2" w:themeShade="1A"/>
        </w:rPr>
      </w:pPr>
      <w:r w:rsidRPr="00706465">
        <w:rPr>
          <w:rFonts w:cs="Times New Roman"/>
          <w:i/>
          <w:color w:val="171717" w:themeColor="background2" w:themeShade="1A"/>
        </w:rPr>
        <w:t>Note</w:t>
      </w:r>
      <w:r w:rsidRPr="00706465">
        <w:rPr>
          <w:rFonts w:cs="Times New Roman"/>
          <w:color w:val="171717" w:themeColor="background2" w:themeShade="1A"/>
        </w:rPr>
        <w:t xml:space="preserve">: </w:t>
      </w:r>
      <w:r w:rsidRPr="00706465">
        <w:rPr>
          <w:rFonts w:cs="Times New Roman"/>
          <w:color w:val="171717" w:themeColor="background2" w:themeShade="1A"/>
        </w:rPr>
        <w:tab/>
        <w:t>Total Parent Within Concordance Sub-Scale Score is the sum of PA, ST, T, OE and ENH Parent Within Concordance scores. Total score range: 5 – 25.</w:t>
      </w:r>
    </w:p>
    <w:p w14:paraId="144F96F8" w14:textId="77777777" w:rsidR="00337307" w:rsidRPr="00706465" w:rsidRDefault="00337307" w:rsidP="00337307">
      <w:pPr>
        <w:spacing w:after="0" w:line="240" w:lineRule="auto"/>
        <w:ind w:left="720" w:hanging="720"/>
        <w:rPr>
          <w:rFonts w:cs="Times New Roman"/>
          <w:color w:val="171717" w:themeColor="background2" w:themeShade="1A"/>
        </w:rPr>
      </w:pPr>
    </w:p>
    <w:p w14:paraId="4C5F6310" w14:textId="77777777" w:rsidR="00337307" w:rsidRPr="00706465" w:rsidRDefault="00337307" w:rsidP="00337307">
      <w:pPr>
        <w:spacing w:after="0" w:line="240" w:lineRule="auto"/>
        <w:ind w:left="720" w:hanging="720"/>
        <w:rPr>
          <w:rFonts w:cs="Times New Roman"/>
          <w:color w:val="171717" w:themeColor="background2" w:themeShade="1A"/>
        </w:rPr>
      </w:pPr>
    </w:p>
    <w:p w14:paraId="026834C8" w14:textId="77777777" w:rsidR="00337307" w:rsidRPr="00706465" w:rsidRDefault="00337307" w:rsidP="003373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color w:val="171717" w:themeColor="background2" w:themeShade="1A"/>
          <w:szCs w:val="24"/>
        </w:rPr>
      </w:pPr>
      <w:r w:rsidRPr="00706465">
        <w:rPr>
          <w:rFonts w:cs="Times New Roman"/>
          <w:b/>
          <w:color w:val="171717" w:themeColor="background2" w:themeShade="1A"/>
          <w:szCs w:val="24"/>
        </w:rPr>
        <w:t>Total RMI-Family Total Score (sum)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37307" w:rsidRPr="00706465" w14:paraId="5957F10F" w14:textId="77777777" w:rsidTr="0000058E">
        <w:tc>
          <w:tcPr>
            <w:tcW w:w="10302" w:type="dxa"/>
          </w:tcPr>
          <w:p w14:paraId="72BD9992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iCs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 xml:space="preserve">Total Youth Motivation Sub-Scale + </w:t>
            </w:r>
          </w:p>
          <w:p w14:paraId="6EB969BA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  <w:lang w:val="fr-FR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 xml:space="preserve">Total Parent Motivation </w:t>
            </w: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 xml:space="preserve">Sub-Scale </w:t>
            </w:r>
            <w:r w:rsidRPr="00706465">
              <w:rPr>
                <w:rFonts w:cs="Times New Roman"/>
                <w:b/>
                <w:color w:val="171717" w:themeColor="background2" w:themeShade="1A"/>
                <w:lang w:val="fr-FR"/>
              </w:rPr>
              <w:t xml:space="preserve">+ </w:t>
            </w:r>
          </w:p>
          <w:p w14:paraId="5A1A06DF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</w:rPr>
              <w:t xml:space="preserve">Total Family Concordance Sub-Scale + </w:t>
            </w:r>
          </w:p>
          <w:p w14:paraId="33866E0E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</w:rPr>
              <w:t xml:space="preserve">Total Youth Within Concordance Sub-Scale + </w:t>
            </w:r>
          </w:p>
          <w:p w14:paraId="4738EF25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  <w:lang w:val="fr-FR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</w:rPr>
              <w:t xml:space="preserve">Total Parent Within Concordance Sub-Scale </w:t>
            </w:r>
          </w:p>
          <w:p w14:paraId="6E3B3308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iCs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iCs/>
                <w:color w:val="171717" w:themeColor="background2" w:themeShade="1A"/>
              </w:rPr>
              <w:t>______________________________________________________________________________</w:t>
            </w:r>
          </w:p>
          <w:p w14:paraId="7021BCE1" w14:textId="77777777" w:rsidR="00337307" w:rsidRPr="00706465" w:rsidRDefault="00337307" w:rsidP="0000058E">
            <w:pPr>
              <w:spacing w:after="0" w:line="240" w:lineRule="auto"/>
              <w:rPr>
                <w:rFonts w:cs="Times New Roman"/>
                <w:b/>
                <w:color w:val="171717" w:themeColor="background2" w:themeShade="1A"/>
              </w:rPr>
            </w:pPr>
            <w:r w:rsidRPr="00706465">
              <w:rPr>
                <w:rFonts w:cs="Times New Roman"/>
                <w:b/>
                <w:color w:val="171717" w:themeColor="background2" w:themeShade="1A"/>
              </w:rPr>
              <w:t>Total RMI-Family Total Score (total score range: 35 – 170)</w:t>
            </w:r>
          </w:p>
        </w:tc>
      </w:tr>
    </w:tbl>
    <w:p w14:paraId="1DC7A6E4" w14:textId="77777777" w:rsidR="00337307" w:rsidRPr="00706465" w:rsidRDefault="00337307" w:rsidP="00337307">
      <w:pPr>
        <w:spacing w:after="0" w:line="240" w:lineRule="auto"/>
        <w:rPr>
          <w:rFonts w:cs="Times New Roman"/>
          <w:color w:val="171717" w:themeColor="background2" w:themeShade="1A"/>
        </w:rPr>
      </w:pPr>
    </w:p>
    <w:p w14:paraId="0F5A3586" w14:textId="77777777" w:rsidR="00337307" w:rsidRPr="00706465" w:rsidRDefault="00337307" w:rsidP="00337307">
      <w:pPr>
        <w:pStyle w:val="EndNoteBibliography"/>
        <w:spacing w:after="0"/>
        <w:ind w:left="720" w:hanging="720"/>
        <w:rPr>
          <w:noProof/>
          <w:color w:val="171717" w:themeColor="background2" w:themeShade="1A"/>
        </w:rPr>
      </w:pPr>
    </w:p>
    <w:p w14:paraId="12C40E1B" w14:textId="77777777" w:rsidR="00337307" w:rsidRPr="00706465" w:rsidRDefault="00337307" w:rsidP="00337307">
      <w:pPr>
        <w:rPr>
          <w:color w:val="171717" w:themeColor="background2" w:themeShade="1A"/>
        </w:rPr>
      </w:pPr>
    </w:p>
    <w:p w14:paraId="065DCCAC" w14:textId="77777777" w:rsidR="004E4697" w:rsidRDefault="004E4697"/>
    <w:sectPr w:rsidR="004E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F0379"/>
    <w:multiLevelType w:val="hybridMultilevel"/>
    <w:tmpl w:val="D9C4C190"/>
    <w:lvl w:ilvl="0" w:tplc="CF1E6D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07"/>
    <w:rsid w:val="000A2625"/>
    <w:rsid w:val="000B558E"/>
    <w:rsid w:val="000B7E6C"/>
    <w:rsid w:val="000C26EF"/>
    <w:rsid w:val="000C36D7"/>
    <w:rsid w:val="00107807"/>
    <w:rsid w:val="001719F8"/>
    <w:rsid w:val="00180690"/>
    <w:rsid w:val="001B07AA"/>
    <w:rsid w:val="00221E10"/>
    <w:rsid w:val="00251DCC"/>
    <w:rsid w:val="0032660E"/>
    <w:rsid w:val="00327134"/>
    <w:rsid w:val="00336F6D"/>
    <w:rsid w:val="00337307"/>
    <w:rsid w:val="00354E78"/>
    <w:rsid w:val="0035524F"/>
    <w:rsid w:val="003A1BE9"/>
    <w:rsid w:val="00466610"/>
    <w:rsid w:val="004952A7"/>
    <w:rsid w:val="004A61E1"/>
    <w:rsid w:val="004D4F14"/>
    <w:rsid w:val="004D4FC8"/>
    <w:rsid w:val="004E4697"/>
    <w:rsid w:val="00505D9F"/>
    <w:rsid w:val="00554A0C"/>
    <w:rsid w:val="00555377"/>
    <w:rsid w:val="00622EE7"/>
    <w:rsid w:val="0062507A"/>
    <w:rsid w:val="00642344"/>
    <w:rsid w:val="00645E7C"/>
    <w:rsid w:val="00652773"/>
    <w:rsid w:val="00693786"/>
    <w:rsid w:val="00714D8B"/>
    <w:rsid w:val="0073510F"/>
    <w:rsid w:val="0073586E"/>
    <w:rsid w:val="00760CFB"/>
    <w:rsid w:val="007A4153"/>
    <w:rsid w:val="007A66B8"/>
    <w:rsid w:val="0087679F"/>
    <w:rsid w:val="00880704"/>
    <w:rsid w:val="008C2AAC"/>
    <w:rsid w:val="008E18F9"/>
    <w:rsid w:val="00906EE9"/>
    <w:rsid w:val="00920A76"/>
    <w:rsid w:val="009442AB"/>
    <w:rsid w:val="00950F50"/>
    <w:rsid w:val="00970CD3"/>
    <w:rsid w:val="0097447D"/>
    <w:rsid w:val="00975EB6"/>
    <w:rsid w:val="0099226C"/>
    <w:rsid w:val="009B3CFB"/>
    <w:rsid w:val="009B61EF"/>
    <w:rsid w:val="009E2AD6"/>
    <w:rsid w:val="009E678E"/>
    <w:rsid w:val="00A25788"/>
    <w:rsid w:val="00A262F7"/>
    <w:rsid w:val="00A359DB"/>
    <w:rsid w:val="00A4688B"/>
    <w:rsid w:val="00AD61E4"/>
    <w:rsid w:val="00B22FCA"/>
    <w:rsid w:val="00B61C1B"/>
    <w:rsid w:val="00B87824"/>
    <w:rsid w:val="00BA69FF"/>
    <w:rsid w:val="00BB5D5F"/>
    <w:rsid w:val="00BB78D2"/>
    <w:rsid w:val="00BE508A"/>
    <w:rsid w:val="00C370BD"/>
    <w:rsid w:val="00C43571"/>
    <w:rsid w:val="00C47D23"/>
    <w:rsid w:val="00C76DD5"/>
    <w:rsid w:val="00CC15BD"/>
    <w:rsid w:val="00CC3E54"/>
    <w:rsid w:val="00CD05E6"/>
    <w:rsid w:val="00D02809"/>
    <w:rsid w:val="00D32093"/>
    <w:rsid w:val="00D63DF2"/>
    <w:rsid w:val="00D65810"/>
    <w:rsid w:val="00D6696C"/>
    <w:rsid w:val="00DB06F6"/>
    <w:rsid w:val="00E2598E"/>
    <w:rsid w:val="00E52214"/>
    <w:rsid w:val="00E730ED"/>
    <w:rsid w:val="00E9698E"/>
    <w:rsid w:val="00EE0601"/>
    <w:rsid w:val="00EF0CC6"/>
    <w:rsid w:val="00F00177"/>
    <w:rsid w:val="00F05BC2"/>
    <w:rsid w:val="00F07E1A"/>
    <w:rsid w:val="00F1658D"/>
    <w:rsid w:val="00F46379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09F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307"/>
    <w:pPr>
      <w:spacing w:after="200" w:line="276" w:lineRule="auto"/>
    </w:pPr>
    <w:rPr>
      <w:rFonts w:ascii="Times New Roman" w:hAnsi="Times New Roman"/>
      <w:szCs w:val="22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33730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7307"/>
    <w:rPr>
      <w:rFonts w:ascii="Times New Roman" w:eastAsiaTheme="majorEastAsia" w:hAnsi="Times New Roman" w:cstheme="majorBidi"/>
      <w:b/>
      <w:bCs/>
      <w:szCs w:val="26"/>
      <w:lang w:val="en-CA"/>
    </w:rPr>
  </w:style>
  <w:style w:type="paragraph" w:styleId="ListParagraph">
    <w:name w:val="List Paragraph"/>
    <w:basedOn w:val="Normal"/>
    <w:link w:val="ListParagraphChar"/>
    <w:uiPriority w:val="99"/>
    <w:qFormat/>
    <w:rsid w:val="003373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7307"/>
    <w:rPr>
      <w:rFonts w:ascii="Times New Roman" w:hAnsi="Times New Roman"/>
      <w:szCs w:val="22"/>
      <w:lang w:val="en-CA"/>
    </w:rPr>
  </w:style>
  <w:style w:type="paragraph" w:customStyle="1" w:styleId="EndNoteBibliography">
    <w:name w:val="EndNote Bibliography"/>
    <w:basedOn w:val="Normal"/>
    <w:rsid w:val="00337307"/>
    <w:pPr>
      <w:spacing w:line="240" w:lineRule="auto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Macintosh Word</Application>
  <DocSecurity>0</DocSecurity>
  <Lines>20</Lines>
  <Paragraphs>5</Paragraphs>
  <ScaleCrop>false</ScaleCrop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E. Browne</dc:creator>
  <cp:keywords/>
  <dc:description/>
  <cp:lastModifiedBy>Nadia E. Browne</cp:lastModifiedBy>
  <cp:revision>1</cp:revision>
  <dcterms:created xsi:type="dcterms:W3CDTF">2016-12-12T22:20:00Z</dcterms:created>
  <dcterms:modified xsi:type="dcterms:W3CDTF">2016-12-12T22:21:00Z</dcterms:modified>
</cp:coreProperties>
</file>