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7C5" w:rsidRPr="008F1C23" w:rsidRDefault="004F0229" w:rsidP="003347C5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b/>
          <w:sz w:val="24"/>
          <w:szCs w:val="24"/>
        </w:rPr>
        <w:t>Additional file 1.</w:t>
      </w:r>
      <w:proofErr w:type="gramEnd"/>
      <w:r w:rsidR="003347C5" w:rsidRPr="008F1C23">
        <w:rPr>
          <w:rFonts w:ascii="Times New Roman" w:hAnsi="Times New Roman" w:cs="Times New Roman"/>
          <w:b/>
          <w:sz w:val="24"/>
          <w:szCs w:val="24"/>
        </w:rPr>
        <w:t xml:space="preserve"> The 1</w:t>
      </w:r>
      <w:r>
        <w:rPr>
          <w:rFonts w:ascii="Times New Roman" w:hAnsi="Times New Roman" w:cs="Times New Roman"/>
          <w:b/>
          <w:sz w:val="24"/>
          <w:szCs w:val="24"/>
        </w:rPr>
        <w:t>2 components of the RED Toolkit</w:t>
      </w:r>
    </w:p>
    <w:tbl>
      <w:tblPr>
        <w:tblStyle w:val="TableGrid"/>
        <w:tblW w:w="10191" w:type="dxa"/>
        <w:tblLook w:val="04A0"/>
      </w:tblPr>
      <w:tblGrid>
        <w:gridCol w:w="2643"/>
        <w:gridCol w:w="7548"/>
      </w:tblGrid>
      <w:tr w:rsidR="003347C5" w:rsidRPr="008F1C23" w:rsidTr="00946ED1">
        <w:trPr>
          <w:trHeight w:val="219"/>
        </w:trPr>
        <w:tc>
          <w:tcPr>
            <w:tcW w:w="2643" w:type="dxa"/>
            <w:shd w:val="clear" w:color="auto" w:fill="9CC2E5" w:themeFill="accent1" w:themeFillTint="99"/>
          </w:tcPr>
          <w:p w:rsidR="003347C5" w:rsidRPr="008F1C23" w:rsidRDefault="003347C5" w:rsidP="009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8F1C23">
              <w:rPr>
                <w:rFonts w:ascii="Times New Roman" w:hAnsi="Times New Roman" w:cs="Times New Roman"/>
                <w:b/>
                <w:sz w:val="24"/>
                <w:szCs w:val="24"/>
              </w:rPr>
              <w:t>ED Component</w:t>
            </w:r>
          </w:p>
        </w:tc>
        <w:tc>
          <w:tcPr>
            <w:tcW w:w="7548" w:type="dxa"/>
            <w:shd w:val="clear" w:color="auto" w:fill="9CC2E5" w:themeFill="accent1" w:themeFillTint="99"/>
          </w:tcPr>
          <w:p w:rsidR="003347C5" w:rsidRPr="008F1C23" w:rsidRDefault="003347C5" w:rsidP="00946E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b/>
                <w:sz w:val="24"/>
                <w:szCs w:val="24"/>
              </w:rPr>
              <w:t>Responsibilities</w:t>
            </w:r>
          </w:p>
        </w:tc>
      </w:tr>
      <w:tr w:rsidR="003347C5" w:rsidRPr="008F1C23" w:rsidTr="00946ED1">
        <w:trPr>
          <w:trHeight w:val="728"/>
        </w:trPr>
        <w:tc>
          <w:tcPr>
            <w:tcW w:w="2643" w:type="dxa"/>
            <w:shd w:val="clear" w:color="auto" w:fill="DEEAF6" w:themeFill="accent1" w:themeFillTint="33"/>
          </w:tcPr>
          <w:p w:rsidR="003347C5" w:rsidRPr="008F1C23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b/>
                <w:sz w:val="24"/>
                <w:szCs w:val="24"/>
              </w:rPr>
              <w:t>1. Ascertain need for and obtain language assistance.</w:t>
            </w:r>
          </w:p>
        </w:tc>
        <w:tc>
          <w:tcPr>
            <w:tcW w:w="7548" w:type="dxa"/>
          </w:tcPr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Find out about preferred languages for oral communication and written materials.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Determine patient and caregivers’ English proficiency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Arrange for language assistance as needed, including translation of written materials.</w:t>
            </w:r>
          </w:p>
        </w:tc>
      </w:tr>
      <w:tr w:rsidR="003347C5" w:rsidRPr="008F1C23" w:rsidTr="00946ED1">
        <w:trPr>
          <w:trHeight w:val="3050"/>
        </w:trPr>
        <w:tc>
          <w:tcPr>
            <w:tcW w:w="2643" w:type="dxa"/>
            <w:shd w:val="clear" w:color="auto" w:fill="DEEAF6" w:themeFill="accent1" w:themeFillTint="33"/>
          </w:tcPr>
          <w:p w:rsidR="003347C5" w:rsidRPr="008F1C23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b/>
                <w:sz w:val="24"/>
                <w:szCs w:val="24"/>
              </w:rPr>
              <w:t>2. Make appointments for follow-up medical appointments and post discharge tests/labs.</w:t>
            </w:r>
          </w:p>
        </w:tc>
        <w:tc>
          <w:tcPr>
            <w:tcW w:w="7548" w:type="dxa"/>
          </w:tcPr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Determine primary care and specialty follow-up needs.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Find a primary care provider (if patient does not have one) based on patient preferences: gender, location, specialty, health plan participation, etc.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Determine need for scheduling future tests.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Make appointments with input from the patient regarding the best time and date for the appointments.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Instruct patient in any preparation required for future tests and confirm understanding.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Discuss importance of clinician appointments and labs/tests.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Inquire about traditional healers and assure that traditional healing and conventional medicine are complementary.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Confirm that the patient knows where to go and has a plan about how to get to appointments; review transportation options and address other barriers to keeping appointments (e.g., lack of day care for children).</w:t>
            </w:r>
          </w:p>
        </w:tc>
      </w:tr>
      <w:tr w:rsidR="003347C5" w:rsidRPr="008F1C23" w:rsidTr="00946ED1">
        <w:trPr>
          <w:trHeight w:val="914"/>
        </w:trPr>
        <w:tc>
          <w:tcPr>
            <w:tcW w:w="2643" w:type="dxa"/>
            <w:shd w:val="clear" w:color="auto" w:fill="DEEAF6" w:themeFill="accent1" w:themeFillTint="33"/>
          </w:tcPr>
          <w:p w:rsidR="003347C5" w:rsidRPr="008F1C23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b/>
                <w:sz w:val="24"/>
                <w:szCs w:val="24"/>
              </w:rPr>
              <w:t>3. Plan for the follow-up of results from lab tests or studies that are pending at discharge.</w:t>
            </w:r>
          </w:p>
        </w:tc>
        <w:tc>
          <w:tcPr>
            <w:tcW w:w="7548" w:type="dxa"/>
          </w:tcPr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Identify the lab work and tests with pending results.</w:t>
            </w:r>
          </w:p>
          <w:p w:rsidR="003347C5" w:rsidRPr="008F1C23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C23">
              <w:rPr>
                <w:rFonts w:ascii="Times New Roman" w:hAnsi="Times New Roman" w:cs="Times New Roman"/>
                <w:sz w:val="24"/>
                <w:szCs w:val="24"/>
              </w:rPr>
              <w:t>• Discuss who will be reviewing the results, and when and how the patient will receive this information.</w:t>
            </w:r>
          </w:p>
        </w:tc>
      </w:tr>
      <w:tr w:rsidR="003347C5" w:rsidRPr="008F1C23" w:rsidTr="00946ED1">
        <w:trPr>
          <w:trHeight w:val="1152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4. Organize post-discharge outpatient services and medical equipment.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Collaborate with the case manager to ensure that durable medical equipment is obtained.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• Document all contact information for medical equipment companies and at-home services in the </w:t>
            </w:r>
            <w:proofErr w:type="spellStart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AHCP</w:t>
            </w:r>
            <w:proofErr w:type="spellEnd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Assess social support available at home.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Collaborate with the medical team and case managers to arrange necessary at-home services.</w:t>
            </w:r>
          </w:p>
        </w:tc>
      </w:tr>
      <w:tr w:rsidR="003347C5" w:rsidRPr="008F1C23" w:rsidTr="00946ED1">
        <w:trPr>
          <w:trHeight w:val="323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5. Identify the correct medicines and a plan for the patient to obtain and take them.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Review all medicine lists with patient, including, when possible, the inpatient medicine list, the outpatient medicine list, the outpatient pharmacy list, and what the patient reports taking.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Ascertain what vitamins, herbal medicines, or other dietary supplements the patient takes.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Explain what medicines to take, emphasizing any changes in the regimen.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Review each medicine’s purpose, how to take each medicine correctly, and important side effects.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Ensure a realistic plan for obtaining medicines is in place.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Assess patient’s concerns about medicine plan.</w:t>
            </w:r>
          </w:p>
        </w:tc>
      </w:tr>
      <w:tr w:rsidR="003347C5" w:rsidRPr="008F1C23" w:rsidTr="00946ED1">
        <w:trPr>
          <w:trHeight w:val="677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6. Reconcile the discharge plan with national guidelines.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Compare the treatment plan with National Guidelines Clearinghouse recommendations for patient’s diagnosis and alert the medical team of discrepancies.</w:t>
            </w:r>
          </w:p>
        </w:tc>
      </w:tr>
      <w:tr w:rsidR="003347C5" w:rsidRPr="008F1C23" w:rsidTr="00946ED1">
        <w:trPr>
          <w:trHeight w:val="896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 Teach a written discharge plan the patient can understand.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• Create an </w:t>
            </w:r>
            <w:proofErr w:type="spellStart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AHCP</w:t>
            </w:r>
            <w:proofErr w:type="spellEnd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, the easy-to-understand discharge plan sent home with patient.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• Review and orient patient to all aspects of </w:t>
            </w:r>
            <w:proofErr w:type="spellStart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AHCP</w:t>
            </w:r>
            <w:proofErr w:type="spellEnd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Encourage patients to ask.</w:t>
            </w:r>
          </w:p>
        </w:tc>
      </w:tr>
      <w:tr w:rsidR="003347C5" w:rsidRPr="008F1C23" w:rsidTr="00946ED1">
        <w:trPr>
          <w:trHeight w:val="914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8. Educate the patient about his or her diagnosis.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Research the patient’s medical history and current condition.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Communicate with the inpatient team regarding ongoing plans for discharge.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Meet with the patient, family, and/or other caregivers to provide education and to begin discharge preparation.</w:t>
            </w:r>
          </w:p>
        </w:tc>
      </w:tr>
      <w:tr w:rsidR="003347C5" w:rsidRPr="008F1C23" w:rsidTr="00946ED1">
        <w:trPr>
          <w:trHeight w:val="914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9. Assess the degree of the patient’s understanding of the discharge plan.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Ask patients to explain in their own words the details of the plan (the teach-back technique).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May require contacting family members and/or other caregivers who will share in the care-giving responsibilities.</w:t>
            </w:r>
          </w:p>
        </w:tc>
      </w:tr>
      <w:tr w:rsidR="003347C5" w:rsidRPr="008F1C23" w:rsidTr="00946ED1">
        <w:trPr>
          <w:trHeight w:val="896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10. Review with the patient what to do if a problem arises.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Instruct on a specific plan of how to contact the primary care provider (PCP) by providing contact numbers, including evenings and weekends.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Instruct on what constitutes an emergency and what to do in cases of emergency.</w:t>
            </w:r>
          </w:p>
        </w:tc>
      </w:tr>
      <w:tr w:rsidR="003347C5" w:rsidRPr="008F1C23" w:rsidTr="00946ED1">
        <w:trPr>
          <w:trHeight w:val="980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11. Expedite transmission of the discharge summary to clinicians accepting care of the patient.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• Deliver discharge summary and </w:t>
            </w:r>
            <w:proofErr w:type="spellStart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AHCP</w:t>
            </w:r>
            <w:proofErr w:type="spellEnd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 to clinicians (e.g., PCP, visiting nurses) within 24 hours of discharge.</w:t>
            </w:r>
          </w:p>
        </w:tc>
      </w:tr>
      <w:tr w:rsidR="003347C5" w:rsidRPr="008F1C23" w:rsidTr="00946ED1">
        <w:trPr>
          <w:trHeight w:val="1116"/>
        </w:trPr>
        <w:tc>
          <w:tcPr>
            <w:tcW w:w="2643" w:type="dxa"/>
            <w:shd w:val="clear" w:color="auto" w:fill="DEEAF6" w:themeFill="accent1" w:themeFillTint="33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b/>
                <w:sz w:val="24"/>
                <w:szCs w:val="24"/>
              </w:rPr>
              <w:t>12. Provide telephone reinforcement of the Discharge Plan.</w:t>
            </w:r>
          </w:p>
        </w:tc>
        <w:tc>
          <w:tcPr>
            <w:tcW w:w="7548" w:type="dxa"/>
          </w:tcPr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• Call the patient within 3 days of discharge to reinforce the discharge plan and help with problem-solving.</w:t>
            </w:r>
          </w:p>
          <w:p w:rsidR="003347C5" w:rsidRPr="008314CE" w:rsidRDefault="003347C5" w:rsidP="00946E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CE">
              <w:rPr>
                <w:rFonts w:ascii="Times New Roman" w:hAnsi="Times New Roman" w:cs="Times New Roman"/>
                <w:sz w:val="24"/>
                <w:szCs w:val="24"/>
              </w:rPr>
              <w:t xml:space="preserve">• Staff DE Help Line. Answer phone calls from patients, family, and/or other caregivers with questions about the </w:t>
            </w:r>
            <w:proofErr w:type="spellStart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AHCP</w:t>
            </w:r>
            <w:proofErr w:type="spellEnd"/>
            <w:r w:rsidRPr="008314CE">
              <w:rPr>
                <w:rFonts w:ascii="Times New Roman" w:hAnsi="Times New Roman" w:cs="Times New Roman"/>
                <w:sz w:val="24"/>
                <w:szCs w:val="24"/>
              </w:rPr>
              <w:t>, hospitalization, and follow-up plan in order to help patient transition from hospital care to outpatient care setting.</w:t>
            </w:r>
          </w:p>
        </w:tc>
      </w:tr>
    </w:tbl>
    <w:p w:rsidR="006321BF" w:rsidRDefault="006321BF"/>
    <w:sectPr w:rsidR="006321BF" w:rsidSect="007454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docVars>
    <w:docVar w:name="Total_Editing_Time" w:val="1"/>
  </w:docVars>
  <w:rsids>
    <w:rsidRoot w:val="003347C5"/>
    <w:rsid w:val="003347C5"/>
    <w:rsid w:val="004F0229"/>
    <w:rsid w:val="006321BF"/>
    <w:rsid w:val="00745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4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696</Words>
  <Characters>3852</Characters>
  <Application>Microsoft Office Word</Application>
  <DocSecurity>0</DocSecurity>
  <Lines>116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Laurens, Vivian</dc:creator>
  <cp:keywords/>
  <dc:description/>
  <cp:lastModifiedBy>ARABINA</cp:lastModifiedBy>
  <cp:revision>2</cp:revision>
  <dcterms:created xsi:type="dcterms:W3CDTF">2016-09-08T13:48:00Z</dcterms:created>
  <dcterms:modified xsi:type="dcterms:W3CDTF">2017-04-11T20:08:00Z</dcterms:modified>
</cp:coreProperties>
</file>