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D5F7" w14:textId="11C30CEA" w:rsidR="000327DF" w:rsidRPr="000327DF" w:rsidRDefault="00013111" w:rsidP="000327DF">
      <w:pPr>
        <w:spacing w:line="480" w:lineRule="auto"/>
        <w:rPr>
          <w:rFonts w:ascii="Arial" w:hAnsi="Arial" w:cs="Arial"/>
          <w:b/>
          <w:sz w:val="28"/>
          <w:szCs w:val="21"/>
          <w:lang w:val="en-GB"/>
        </w:rPr>
      </w:pPr>
      <w:r>
        <w:rPr>
          <w:rFonts w:ascii="Arial" w:hAnsi="Arial" w:cs="Arial"/>
          <w:b/>
          <w:sz w:val="28"/>
          <w:szCs w:val="21"/>
          <w:lang w:val="en-GB"/>
        </w:rPr>
        <w:t>Additional file</w:t>
      </w:r>
      <w:r w:rsidR="000327DF" w:rsidRPr="000327DF">
        <w:rPr>
          <w:rFonts w:ascii="Arial" w:hAnsi="Arial" w:cs="Arial"/>
          <w:b/>
          <w:sz w:val="28"/>
          <w:szCs w:val="21"/>
          <w:lang w:val="en-GB"/>
        </w:rPr>
        <w:t xml:space="preserve"> 4</w:t>
      </w:r>
      <w:r w:rsidR="0055472B">
        <w:rPr>
          <w:rFonts w:ascii="Arial" w:hAnsi="Arial" w:cs="Arial"/>
          <w:b/>
          <w:sz w:val="28"/>
          <w:szCs w:val="21"/>
          <w:lang w:val="en-GB"/>
        </w:rPr>
        <w:t>: Exploratory Analysis 2</w:t>
      </w:r>
    </w:p>
    <w:p w14:paraId="016B1C2E" w14:textId="77777777" w:rsidR="000327DF" w:rsidRPr="000327DF" w:rsidRDefault="000327DF" w:rsidP="000327DF">
      <w:pPr>
        <w:spacing w:before="120" w:after="120" w:line="264" w:lineRule="auto"/>
        <w:rPr>
          <w:rFonts w:ascii="Arial" w:hAnsi="Arial" w:cs="Arial"/>
          <w:sz w:val="21"/>
          <w:szCs w:val="21"/>
        </w:rPr>
      </w:pPr>
      <w:r w:rsidRPr="000327DF">
        <w:rPr>
          <w:rFonts w:ascii="Arial" w:hAnsi="Arial" w:cs="Arial"/>
          <w:sz w:val="21"/>
          <w:szCs w:val="21"/>
        </w:rPr>
        <w:t xml:space="preserve">The data used in the linear regressions was un-weighted and costs for all countries were calculated using UK unit costs so that differences in unit </w:t>
      </w:r>
      <w:bookmarkStart w:id="0" w:name="_GoBack"/>
      <w:bookmarkEnd w:id="0"/>
      <w:r w:rsidRPr="000327DF">
        <w:rPr>
          <w:rFonts w:ascii="Arial" w:hAnsi="Arial" w:cs="Arial"/>
          <w:sz w:val="21"/>
          <w:szCs w:val="21"/>
        </w:rPr>
        <w:t>costing by country would not be the main source of cost variability.</w:t>
      </w:r>
    </w:p>
    <w:p w14:paraId="0524D413" w14:textId="7F1DF1B5" w:rsidR="000327DF" w:rsidRPr="000327DF" w:rsidRDefault="000327DF" w:rsidP="000327DF">
      <w:pPr>
        <w:spacing w:before="120" w:after="120" w:line="264" w:lineRule="auto"/>
        <w:rPr>
          <w:rFonts w:ascii="Arial" w:hAnsi="Arial" w:cs="Arial"/>
          <w:sz w:val="21"/>
          <w:szCs w:val="21"/>
        </w:rPr>
      </w:pPr>
      <w:r w:rsidRPr="000327DF">
        <w:rPr>
          <w:rFonts w:ascii="Arial" w:hAnsi="Arial" w:cs="Arial"/>
          <w:sz w:val="21"/>
          <w:szCs w:val="21"/>
        </w:rPr>
        <w:t>In the simple linear regression, variables thought to be potentially associated with the total cost of NTMLD management were regressed against the total cost (UK £) transformed on the log10 scale. Significant predictors of cost included: presence of bronchiectasis vs. no bronchiectasis); an unknown result in a chest radiograph (vs. negative result); an unknown result in an HRCT scan (vs. negative result); a physician specializing in infectious disease (vs. general medicine); a physician specializing in pulmonology or respiratory medicine (vs. general medicine); patients in France (vs. patients treated in Canada</w:t>
      </w:r>
      <w:r w:rsidR="003B6A2D">
        <w:rPr>
          <w:rFonts w:ascii="Arial" w:hAnsi="Arial" w:cs="Arial"/>
          <w:sz w:val="21"/>
          <w:szCs w:val="21"/>
        </w:rPr>
        <w:t xml:space="preserve">; </w:t>
      </w:r>
      <w:r w:rsidR="0059480F">
        <w:rPr>
          <w:rFonts w:ascii="Arial" w:hAnsi="Arial" w:cs="Arial"/>
          <w:sz w:val="21"/>
          <w:szCs w:val="21"/>
        </w:rPr>
        <w:t xml:space="preserve">borderline significant, </w:t>
      </w:r>
      <w:r w:rsidR="003B6A2D" w:rsidRPr="0059480F">
        <w:rPr>
          <w:rFonts w:ascii="Arial" w:hAnsi="Arial" w:cs="Arial"/>
          <w:i/>
          <w:sz w:val="21"/>
          <w:szCs w:val="21"/>
        </w:rPr>
        <w:t>p</w:t>
      </w:r>
      <w:r w:rsidR="003B6A2D">
        <w:rPr>
          <w:rFonts w:ascii="Arial" w:hAnsi="Arial" w:cs="Arial"/>
          <w:sz w:val="21"/>
          <w:szCs w:val="21"/>
        </w:rPr>
        <w:t>=0.055</w:t>
      </w:r>
      <w:r w:rsidRPr="000327DF">
        <w:rPr>
          <w:rFonts w:ascii="Arial" w:hAnsi="Arial" w:cs="Arial"/>
          <w:sz w:val="21"/>
          <w:szCs w:val="21"/>
        </w:rPr>
        <w:t xml:space="preserve">); weight, and; date of symptom onset. (Table </w:t>
      </w:r>
      <w:r w:rsidR="00772894">
        <w:rPr>
          <w:rFonts w:ascii="Arial" w:hAnsi="Arial" w:cs="Arial"/>
          <w:sz w:val="21"/>
          <w:szCs w:val="21"/>
        </w:rPr>
        <w:t>1</w:t>
      </w:r>
      <w:r w:rsidRPr="000327DF">
        <w:rPr>
          <w:rFonts w:ascii="Arial" w:hAnsi="Arial" w:cs="Arial"/>
          <w:sz w:val="21"/>
          <w:szCs w:val="21"/>
        </w:rPr>
        <w:t xml:space="preserve">) The latter variable, date of symptom onset, captured the prevalence-based feature of the study design, such that included patients could be incident prior to or during the resource utilization observation window. This variable was statistically significant and was used as an adjustment factor in the multiple linear regression.  </w:t>
      </w:r>
    </w:p>
    <w:p w14:paraId="70E89BB1" w14:textId="53AB8382" w:rsidR="000327DF" w:rsidRPr="000327DF" w:rsidRDefault="000327DF" w:rsidP="000327DF">
      <w:pPr>
        <w:spacing w:before="120" w:after="120" w:line="264" w:lineRule="auto"/>
        <w:rPr>
          <w:rFonts w:ascii="Arial" w:hAnsi="Arial" w:cs="Arial"/>
          <w:sz w:val="21"/>
          <w:szCs w:val="21"/>
        </w:rPr>
      </w:pPr>
      <w:r w:rsidRPr="000327DF">
        <w:rPr>
          <w:rFonts w:ascii="Arial" w:hAnsi="Arial" w:cs="Arial"/>
          <w:sz w:val="21"/>
          <w:szCs w:val="21"/>
        </w:rPr>
        <w:t xml:space="preserve">In the multiple linear regression, characteristics found significant in linear regression were combined with date of symptom onset, which was highly significant in the simple linear regression and potentially confounding the relationship between other variables and overall cost. In the multiple linear regression, we found that only physician specialty remained significant, with both physicians specializing in infectious disease and in pulmonology or respiratory medicine decreasing total cost compared to those in general medicine.  (Table </w:t>
      </w:r>
      <w:r w:rsidR="00772894">
        <w:rPr>
          <w:rFonts w:ascii="Arial" w:hAnsi="Arial" w:cs="Arial"/>
          <w:sz w:val="21"/>
          <w:szCs w:val="21"/>
        </w:rPr>
        <w:t>2</w:t>
      </w:r>
      <w:r w:rsidRPr="000327DF">
        <w:rPr>
          <w:rFonts w:ascii="Arial" w:hAnsi="Arial" w:cs="Arial"/>
          <w:sz w:val="21"/>
          <w:szCs w:val="21"/>
        </w:rPr>
        <w:t>).</w:t>
      </w:r>
    </w:p>
    <w:p w14:paraId="26A9C2E1" w14:textId="77777777" w:rsidR="000327DF" w:rsidRPr="000327DF" w:rsidRDefault="000327DF" w:rsidP="000327DF">
      <w:pPr>
        <w:spacing w:before="120" w:after="120" w:line="264" w:lineRule="auto"/>
        <w:rPr>
          <w:rFonts w:ascii="Arial" w:hAnsi="Arial" w:cs="Arial"/>
          <w:sz w:val="21"/>
          <w:szCs w:val="21"/>
        </w:rPr>
      </w:pPr>
      <w:r w:rsidRPr="000327DF">
        <w:rPr>
          <w:rFonts w:ascii="Arial" w:hAnsi="Arial" w:cs="Arial"/>
          <w:sz w:val="21"/>
          <w:szCs w:val="21"/>
        </w:rPr>
        <w:t>For all tables, the interpretation of the coefficient for categorical variables is the increase in log10 cost for the category listed relative to the reference category (listed as “vs. xxx”). Positive coefficients represent increased costs whereas negative coefficients represent decreased costs. Coefficients for continuous variables are interpreted as the increase in log10 cost per unit increase of that variable. A p-value less than 0.05 is highlighted in red, indicating that the variable is statistically significant in its association with cost (log10 transformed).</w:t>
      </w:r>
    </w:p>
    <w:p w14:paraId="59A609C7" w14:textId="1E59FC82" w:rsidR="000327DF" w:rsidRPr="000327DF" w:rsidRDefault="000327DF" w:rsidP="000327DF">
      <w:pPr>
        <w:spacing w:before="120" w:after="120" w:line="264" w:lineRule="auto"/>
        <w:rPr>
          <w:rFonts w:ascii="Arial" w:hAnsi="Arial" w:cs="Arial"/>
          <w:sz w:val="21"/>
          <w:szCs w:val="21"/>
        </w:rPr>
      </w:pPr>
      <w:r w:rsidRPr="000327DF">
        <w:rPr>
          <w:rFonts w:ascii="Arial" w:hAnsi="Arial" w:cs="Arial"/>
          <w:sz w:val="21"/>
          <w:szCs w:val="21"/>
        </w:rPr>
        <w:t xml:space="preserve">Rows are shaded to show groupings of multiple levels from a single categorical variable. E.g. in Table </w:t>
      </w:r>
      <w:r w:rsidR="00772894">
        <w:rPr>
          <w:rFonts w:ascii="Arial" w:hAnsi="Arial" w:cs="Arial"/>
          <w:sz w:val="21"/>
          <w:szCs w:val="21"/>
        </w:rPr>
        <w:t>1</w:t>
      </w:r>
      <w:r w:rsidRPr="000327DF">
        <w:rPr>
          <w:rFonts w:ascii="Arial" w:hAnsi="Arial" w:cs="Arial"/>
          <w:sz w:val="21"/>
          <w:szCs w:val="21"/>
        </w:rPr>
        <w:t>, there were three levels for smoking status: smoker, non-smoker, and unknown. Smoker was selected as the reference treatment, and the relative cost among non-smokers vs. smokers and among those of unknown smoking status vs. smokers are presented in the seventh and eighth rows, both shad</w:t>
      </w:r>
      <w:r w:rsidR="00A2460D">
        <w:rPr>
          <w:rFonts w:ascii="Arial" w:hAnsi="Arial" w:cs="Arial"/>
          <w:sz w:val="21"/>
          <w:szCs w:val="21"/>
        </w:rPr>
        <w:t>ed</w:t>
      </w:r>
      <w:r w:rsidRPr="000327DF">
        <w:rPr>
          <w:rFonts w:ascii="Arial" w:hAnsi="Arial" w:cs="Arial"/>
          <w:sz w:val="21"/>
          <w:szCs w:val="21"/>
        </w:rPr>
        <w:t xml:space="preserve"> in grey to indicate they belong to the same category.</w:t>
      </w:r>
    </w:p>
    <w:p w14:paraId="51D2018A" w14:textId="77777777" w:rsidR="000327DF" w:rsidRDefault="000327DF" w:rsidP="000327DF">
      <w:pPr>
        <w:spacing w:before="120" w:after="120" w:line="264" w:lineRule="auto"/>
      </w:pPr>
    </w:p>
    <w:p w14:paraId="0091FAB5" w14:textId="77777777" w:rsidR="000327DF" w:rsidRDefault="000327DF" w:rsidP="000327DF">
      <w:pPr>
        <w:rPr>
          <w:rFonts w:ascii="Arial" w:eastAsia="Calibri" w:hAnsi="Arial" w:cs="System"/>
          <w:i/>
          <w:color w:val="56565A"/>
          <w:szCs w:val="21"/>
          <w:lang w:val="en-GB"/>
        </w:rPr>
      </w:pPr>
      <w:r>
        <w:br w:type="page"/>
      </w:r>
    </w:p>
    <w:p w14:paraId="7B4B909F" w14:textId="27A699A7" w:rsidR="000327DF" w:rsidRDefault="000327DF" w:rsidP="000327DF">
      <w:pPr>
        <w:pStyle w:val="Caption"/>
      </w:pPr>
      <w:r>
        <w:lastRenderedPageBreak/>
        <w:t xml:space="preserve">Table </w:t>
      </w:r>
      <w:r w:rsidR="00772894">
        <w:t>1</w:t>
      </w:r>
      <w:r>
        <w:t xml:space="preserve">: Simple linear regression of select characteristics against total annual NTMLD related cost (all expressed in </w:t>
      </w:r>
      <w:r w:rsidRPr="009707F8">
        <w:rPr>
          <w:lang w:val="en-US"/>
        </w:rPr>
        <w:t>£</w:t>
      </w:r>
      <w:r>
        <w:t>), transformed on log10 scale.</w:t>
      </w:r>
    </w:p>
    <w:tbl>
      <w:tblPr>
        <w:tblW w:w="5000" w:type="pct"/>
        <w:tblLayout w:type="fixed"/>
        <w:tblLook w:val="06A0" w:firstRow="1" w:lastRow="0" w:firstColumn="1" w:lastColumn="0" w:noHBand="1" w:noVBand="1"/>
      </w:tblPr>
      <w:tblGrid>
        <w:gridCol w:w="6139"/>
        <w:gridCol w:w="1349"/>
        <w:gridCol w:w="991"/>
        <w:gridCol w:w="763"/>
      </w:tblGrid>
      <w:tr w:rsidR="000327DF" w:rsidRPr="00583B58" w14:paraId="122FF0C9" w14:textId="77777777" w:rsidTr="00077CE6">
        <w:trPr>
          <w:trHeight w:val="330"/>
        </w:trPr>
        <w:tc>
          <w:tcPr>
            <w:tcW w:w="3321" w:type="pct"/>
            <w:tcBorders>
              <w:top w:val="single" w:sz="4" w:space="0" w:color="auto"/>
              <w:left w:val="nil"/>
              <w:bottom w:val="single" w:sz="4" w:space="0" w:color="auto"/>
              <w:right w:val="nil"/>
            </w:tcBorders>
            <w:shd w:val="clear" w:color="auto" w:fill="auto"/>
            <w:noWrap/>
            <w:vAlign w:val="bottom"/>
            <w:hideMark/>
          </w:tcPr>
          <w:p w14:paraId="1CF81DAC" w14:textId="77777777" w:rsidR="000327DF" w:rsidRPr="00583B58" w:rsidRDefault="000327DF" w:rsidP="00077CE6">
            <w:pPr>
              <w:spacing w:after="0" w:line="240" w:lineRule="auto"/>
              <w:rPr>
                <w:rFonts w:ascii="Arial Narrow" w:eastAsia="Times New Roman" w:hAnsi="Arial Narrow" w:cs="Calibri"/>
                <w:b/>
                <w:bCs/>
                <w:color w:val="000000"/>
                <w:sz w:val="20"/>
                <w:szCs w:val="20"/>
              </w:rPr>
            </w:pPr>
            <w:r w:rsidRPr="00583B58">
              <w:rPr>
                <w:rFonts w:ascii="Arial Narrow" w:eastAsia="Times New Roman" w:hAnsi="Arial Narrow" w:cs="Calibri"/>
                <w:b/>
                <w:bCs/>
                <w:color w:val="000000"/>
                <w:sz w:val="20"/>
                <w:szCs w:val="20"/>
              </w:rPr>
              <w:t>Covariate</w:t>
            </w:r>
          </w:p>
        </w:tc>
        <w:tc>
          <w:tcPr>
            <w:tcW w:w="730" w:type="pct"/>
            <w:tcBorders>
              <w:top w:val="single" w:sz="4" w:space="0" w:color="auto"/>
              <w:left w:val="nil"/>
              <w:bottom w:val="single" w:sz="4" w:space="0" w:color="auto"/>
              <w:right w:val="nil"/>
            </w:tcBorders>
            <w:shd w:val="clear" w:color="auto" w:fill="auto"/>
            <w:vAlign w:val="center"/>
            <w:hideMark/>
          </w:tcPr>
          <w:p w14:paraId="759722E0" w14:textId="77777777" w:rsidR="000327DF" w:rsidRPr="00583B58" w:rsidRDefault="000327DF" w:rsidP="00077CE6">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Coefficient</w:t>
            </w:r>
          </w:p>
        </w:tc>
        <w:tc>
          <w:tcPr>
            <w:tcW w:w="536" w:type="pct"/>
            <w:tcBorders>
              <w:top w:val="single" w:sz="4" w:space="0" w:color="auto"/>
              <w:left w:val="nil"/>
              <w:bottom w:val="single" w:sz="4" w:space="0" w:color="auto"/>
              <w:right w:val="nil"/>
            </w:tcBorders>
            <w:shd w:val="clear" w:color="auto" w:fill="auto"/>
            <w:vAlign w:val="center"/>
            <w:hideMark/>
          </w:tcPr>
          <w:p w14:paraId="4221F1F2" w14:textId="77777777" w:rsidR="000327DF" w:rsidRPr="00583B58" w:rsidRDefault="000327DF" w:rsidP="00077CE6">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SE</w:t>
            </w:r>
          </w:p>
        </w:tc>
        <w:tc>
          <w:tcPr>
            <w:tcW w:w="413" w:type="pct"/>
            <w:tcBorders>
              <w:top w:val="single" w:sz="4" w:space="0" w:color="auto"/>
              <w:left w:val="nil"/>
              <w:bottom w:val="single" w:sz="4" w:space="0" w:color="auto"/>
              <w:right w:val="nil"/>
            </w:tcBorders>
            <w:shd w:val="clear" w:color="auto" w:fill="auto"/>
            <w:vAlign w:val="center"/>
            <w:hideMark/>
          </w:tcPr>
          <w:p w14:paraId="2B4BB372" w14:textId="77777777" w:rsidR="000327DF" w:rsidRPr="00583B58" w:rsidRDefault="000327DF" w:rsidP="00077CE6">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P-value</w:t>
            </w:r>
          </w:p>
        </w:tc>
      </w:tr>
      <w:tr w:rsidR="000327DF" w:rsidRPr="00583B58" w14:paraId="289F9703" w14:textId="77777777" w:rsidTr="00077CE6">
        <w:trPr>
          <w:trHeight w:val="330"/>
        </w:trPr>
        <w:tc>
          <w:tcPr>
            <w:tcW w:w="3321" w:type="pct"/>
            <w:tcBorders>
              <w:top w:val="nil"/>
              <w:left w:val="nil"/>
              <w:bottom w:val="nil"/>
              <w:right w:val="nil"/>
            </w:tcBorders>
            <w:shd w:val="clear" w:color="000000" w:fill="F2F2F2"/>
            <w:noWrap/>
            <w:vAlign w:val="bottom"/>
            <w:hideMark/>
          </w:tcPr>
          <w:p w14:paraId="543516BA"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i/>
                <w:iCs/>
                <w:color w:val="000000"/>
                <w:sz w:val="20"/>
                <w:szCs w:val="20"/>
              </w:rPr>
              <w:t>M. avium</w:t>
            </w:r>
            <w:r w:rsidRPr="005E3016">
              <w:rPr>
                <w:rFonts w:ascii="Arial Narrow" w:eastAsia="Times New Roman" w:hAnsi="Arial Narrow" w:cs="Calibri"/>
                <w:color w:val="000000"/>
                <w:sz w:val="20"/>
                <w:szCs w:val="20"/>
              </w:rPr>
              <w:t xml:space="preserve"> (vs. </w:t>
            </w:r>
            <w:r>
              <w:rPr>
                <w:rFonts w:ascii="Arial Narrow" w:eastAsia="Times New Roman" w:hAnsi="Arial Narrow" w:cs="Calibri"/>
                <w:color w:val="000000"/>
                <w:sz w:val="20"/>
                <w:szCs w:val="20"/>
              </w:rPr>
              <w:t>absence of</w:t>
            </w:r>
            <w:r w:rsidRPr="00583B58">
              <w:rPr>
                <w:rFonts w:ascii="Arial Narrow" w:eastAsia="Times New Roman" w:hAnsi="Arial Narrow" w:cs="Calibri"/>
                <w:i/>
                <w:iCs/>
                <w:color w:val="000000"/>
                <w:sz w:val="20"/>
                <w:szCs w:val="20"/>
              </w:rPr>
              <w:t xml:space="preserve"> </w:t>
            </w:r>
            <w:r w:rsidRPr="005E3016">
              <w:rPr>
                <w:rFonts w:ascii="Arial Narrow" w:eastAsia="Times New Roman" w:hAnsi="Arial Narrow" w:cs="Calibri"/>
                <w:i/>
                <w:iCs/>
                <w:color w:val="000000"/>
                <w:sz w:val="20"/>
                <w:szCs w:val="20"/>
              </w:rPr>
              <w:t>M. avium</w:t>
            </w:r>
            <w:r w:rsidRPr="005E3016">
              <w:rPr>
                <w:rFonts w:ascii="Arial Narrow" w:eastAsia="Times New Roman" w:hAnsi="Arial Narrow" w:cs="Calibri"/>
                <w:color w:val="000000"/>
                <w:sz w:val="20"/>
                <w:szCs w:val="20"/>
              </w:rPr>
              <w:t>)</w:t>
            </w:r>
          </w:p>
        </w:tc>
        <w:tc>
          <w:tcPr>
            <w:tcW w:w="730" w:type="pct"/>
            <w:tcBorders>
              <w:top w:val="nil"/>
              <w:left w:val="nil"/>
              <w:bottom w:val="nil"/>
              <w:right w:val="nil"/>
            </w:tcBorders>
            <w:shd w:val="clear" w:color="auto" w:fill="F2F2F2" w:themeFill="background1" w:themeFillShade="F2"/>
            <w:vAlign w:val="bottom"/>
            <w:hideMark/>
          </w:tcPr>
          <w:p w14:paraId="13B5B0E5"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0.133</w:t>
            </w:r>
          </w:p>
        </w:tc>
        <w:tc>
          <w:tcPr>
            <w:tcW w:w="536" w:type="pct"/>
            <w:tcBorders>
              <w:top w:val="nil"/>
              <w:left w:val="nil"/>
              <w:bottom w:val="nil"/>
              <w:right w:val="nil"/>
            </w:tcBorders>
            <w:shd w:val="clear" w:color="auto" w:fill="F2F2F2" w:themeFill="background1" w:themeFillShade="F2"/>
            <w:vAlign w:val="bottom"/>
            <w:hideMark/>
          </w:tcPr>
          <w:p w14:paraId="3C4FF411"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0.101</w:t>
            </w:r>
          </w:p>
        </w:tc>
        <w:tc>
          <w:tcPr>
            <w:tcW w:w="413" w:type="pct"/>
            <w:tcBorders>
              <w:top w:val="nil"/>
              <w:left w:val="nil"/>
              <w:bottom w:val="nil"/>
              <w:right w:val="nil"/>
            </w:tcBorders>
            <w:shd w:val="clear" w:color="auto" w:fill="F2F2F2" w:themeFill="background1" w:themeFillShade="F2"/>
            <w:vAlign w:val="bottom"/>
            <w:hideMark/>
          </w:tcPr>
          <w:p w14:paraId="625316D3"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0.187</w:t>
            </w:r>
          </w:p>
        </w:tc>
      </w:tr>
      <w:tr w:rsidR="000327DF" w:rsidRPr="00583B58" w14:paraId="59029D0C" w14:textId="77777777" w:rsidTr="00077CE6">
        <w:trPr>
          <w:trHeight w:val="330"/>
        </w:trPr>
        <w:tc>
          <w:tcPr>
            <w:tcW w:w="3321" w:type="pct"/>
            <w:tcBorders>
              <w:top w:val="nil"/>
              <w:left w:val="nil"/>
              <w:bottom w:val="nil"/>
              <w:right w:val="nil"/>
            </w:tcBorders>
            <w:shd w:val="clear" w:color="auto" w:fill="auto"/>
            <w:noWrap/>
            <w:vAlign w:val="bottom"/>
            <w:hideMark/>
          </w:tcPr>
          <w:p w14:paraId="0D711952"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i/>
                <w:iCs/>
                <w:color w:val="000000"/>
                <w:sz w:val="20"/>
                <w:szCs w:val="20"/>
              </w:rPr>
              <w:t xml:space="preserve">M. </w:t>
            </w:r>
            <w:proofErr w:type="spellStart"/>
            <w:r w:rsidRPr="005E3016">
              <w:rPr>
                <w:rFonts w:ascii="Arial Narrow" w:eastAsia="Times New Roman" w:hAnsi="Arial Narrow" w:cs="Calibri"/>
                <w:i/>
                <w:iCs/>
                <w:color w:val="000000"/>
                <w:sz w:val="20"/>
                <w:szCs w:val="20"/>
              </w:rPr>
              <w:t>intracellulare</w:t>
            </w:r>
            <w:proofErr w:type="spellEnd"/>
            <w:r w:rsidRPr="005E3016">
              <w:rPr>
                <w:rFonts w:ascii="Arial Narrow" w:eastAsia="Times New Roman" w:hAnsi="Arial Narrow" w:cs="Calibri"/>
                <w:color w:val="000000"/>
                <w:sz w:val="20"/>
                <w:szCs w:val="20"/>
              </w:rPr>
              <w:t xml:space="preserve"> (vs. </w:t>
            </w:r>
            <w:r>
              <w:rPr>
                <w:rFonts w:ascii="Arial Narrow" w:eastAsia="Times New Roman" w:hAnsi="Arial Narrow" w:cs="Calibri"/>
                <w:color w:val="000000"/>
                <w:sz w:val="20"/>
                <w:szCs w:val="20"/>
              </w:rPr>
              <w:t>absence of</w:t>
            </w:r>
            <w:r w:rsidRPr="005E3016">
              <w:rPr>
                <w:rFonts w:ascii="Arial Narrow" w:eastAsia="Times New Roman" w:hAnsi="Arial Narrow" w:cs="Calibri"/>
                <w:color w:val="000000"/>
                <w:sz w:val="20"/>
                <w:szCs w:val="20"/>
              </w:rPr>
              <w:t xml:space="preserve"> </w:t>
            </w:r>
            <w:r w:rsidRPr="005E3016">
              <w:rPr>
                <w:rFonts w:ascii="Arial Narrow" w:eastAsia="Times New Roman" w:hAnsi="Arial Narrow" w:cs="Calibri"/>
                <w:i/>
                <w:iCs/>
                <w:color w:val="000000"/>
                <w:sz w:val="20"/>
                <w:szCs w:val="20"/>
              </w:rPr>
              <w:t xml:space="preserve">M. </w:t>
            </w:r>
            <w:proofErr w:type="spellStart"/>
            <w:r w:rsidRPr="005E3016">
              <w:rPr>
                <w:rFonts w:ascii="Arial Narrow" w:eastAsia="Times New Roman" w:hAnsi="Arial Narrow" w:cs="Calibri"/>
                <w:i/>
                <w:iCs/>
                <w:color w:val="000000"/>
                <w:sz w:val="20"/>
                <w:szCs w:val="20"/>
              </w:rPr>
              <w:t>intracellulare</w:t>
            </w:r>
            <w:proofErr w:type="spellEnd"/>
            <w:r w:rsidRPr="005E3016">
              <w:rPr>
                <w:rFonts w:ascii="Arial Narrow" w:eastAsia="Times New Roman" w:hAnsi="Arial Narrow" w:cs="Calibri"/>
                <w:color w:val="000000"/>
                <w:sz w:val="20"/>
                <w:szCs w:val="20"/>
              </w:rPr>
              <w:t>)</w:t>
            </w:r>
          </w:p>
        </w:tc>
        <w:tc>
          <w:tcPr>
            <w:tcW w:w="730" w:type="pct"/>
            <w:tcBorders>
              <w:top w:val="nil"/>
              <w:left w:val="nil"/>
              <w:bottom w:val="nil"/>
              <w:right w:val="nil"/>
            </w:tcBorders>
            <w:shd w:val="clear" w:color="auto" w:fill="auto"/>
            <w:vAlign w:val="bottom"/>
            <w:hideMark/>
          </w:tcPr>
          <w:p w14:paraId="46E5205A"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-0.176</w:t>
            </w:r>
          </w:p>
        </w:tc>
        <w:tc>
          <w:tcPr>
            <w:tcW w:w="536" w:type="pct"/>
            <w:tcBorders>
              <w:top w:val="nil"/>
              <w:left w:val="nil"/>
              <w:bottom w:val="nil"/>
              <w:right w:val="nil"/>
            </w:tcBorders>
            <w:shd w:val="clear" w:color="auto" w:fill="auto"/>
            <w:vAlign w:val="bottom"/>
            <w:hideMark/>
          </w:tcPr>
          <w:p w14:paraId="5F16F40F"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0.100</w:t>
            </w:r>
          </w:p>
        </w:tc>
        <w:tc>
          <w:tcPr>
            <w:tcW w:w="413" w:type="pct"/>
            <w:tcBorders>
              <w:top w:val="nil"/>
              <w:left w:val="nil"/>
              <w:bottom w:val="nil"/>
              <w:right w:val="nil"/>
            </w:tcBorders>
            <w:shd w:val="clear" w:color="auto" w:fill="auto"/>
            <w:vAlign w:val="bottom"/>
            <w:hideMark/>
          </w:tcPr>
          <w:p w14:paraId="0E9DDBB6"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0.079</w:t>
            </w:r>
          </w:p>
        </w:tc>
      </w:tr>
      <w:tr w:rsidR="000327DF" w:rsidRPr="00583B58" w14:paraId="4561632F" w14:textId="77777777" w:rsidTr="00077CE6">
        <w:trPr>
          <w:trHeight w:val="330"/>
        </w:trPr>
        <w:tc>
          <w:tcPr>
            <w:tcW w:w="3321" w:type="pct"/>
            <w:tcBorders>
              <w:top w:val="nil"/>
              <w:left w:val="nil"/>
              <w:bottom w:val="nil"/>
              <w:right w:val="nil"/>
            </w:tcBorders>
            <w:shd w:val="clear" w:color="000000" w:fill="F2F2F2"/>
            <w:noWrap/>
            <w:vAlign w:val="bottom"/>
            <w:hideMark/>
          </w:tcPr>
          <w:p w14:paraId="544FBD95"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i/>
                <w:iCs/>
                <w:color w:val="000000"/>
                <w:sz w:val="20"/>
                <w:szCs w:val="20"/>
              </w:rPr>
              <w:t>M. chimaera</w:t>
            </w:r>
            <w:r w:rsidRPr="005E3016">
              <w:rPr>
                <w:rFonts w:ascii="Arial Narrow" w:eastAsia="Times New Roman" w:hAnsi="Arial Narrow" w:cs="Calibri"/>
                <w:color w:val="000000"/>
                <w:sz w:val="20"/>
                <w:szCs w:val="20"/>
              </w:rPr>
              <w:t xml:space="preserve"> (vs. </w:t>
            </w:r>
            <w:r>
              <w:rPr>
                <w:rFonts w:ascii="Arial Narrow" w:eastAsia="Times New Roman" w:hAnsi="Arial Narrow" w:cs="Calibri"/>
                <w:color w:val="000000"/>
                <w:sz w:val="20"/>
                <w:szCs w:val="20"/>
              </w:rPr>
              <w:t>absence of</w:t>
            </w:r>
            <w:r w:rsidRPr="00583B58">
              <w:rPr>
                <w:rFonts w:ascii="Arial Narrow" w:eastAsia="Times New Roman" w:hAnsi="Arial Narrow" w:cs="Calibri"/>
                <w:i/>
                <w:iCs/>
                <w:color w:val="000000"/>
                <w:sz w:val="20"/>
                <w:szCs w:val="20"/>
              </w:rPr>
              <w:t xml:space="preserve"> </w:t>
            </w:r>
            <w:r w:rsidRPr="005E3016">
              <w:rPr>
                <w:rFonts w:ascii="Arial Narrow" w:eastAsia="Times New Roman" w:hAnsi="Arial Narrow" w:cs="Calibri"/>
                <w:i/>
                <w:iCs/>
                <w:color w:val="000000"/>
                <w:sz w:val="20"/>
                <w:szCs w:val="20"/>
              </w:rPr>
              <w:t>M. chimaera</w:t>
            </w:r>
            <w:r w:rsidRPr="005E3016">
              <w:rPr>
                <w:rFonts w:ascii="Arial Narrow" w:eastAsia="Times New Roman" w:hAnsi="Arial Narrow" w:cs="Calibri"/>
                <w:color w:val="000000"/>
                <w:sz w:val="20"/>
                <w:szCs w:val="20"/>
              </w:rPr>
              <w:t>)</w:t>
            </w:r>
          </w:p>
        </w:tc>
        <w:tc>
          <w:tcPr>
            <w:tcW w:w="730" w:type="pct"/>
            <w:tcBorders>
              <w:top w:val="nil"/>
              <w:left w:val="nil"/>
              <w:bottom w:val="nil"/>
              <w:right w:val="nil"/>
            </w:tcBorders>
            <w:shd w:val="clear" w:color="auto" w:fill="F2F2F2" w:themeFill="background1" w:themeFillShade="F2"/>
            <w:vAlign w:val="bottom"/>
            <w:hideMark/>
          </w:tcPr>
          <w:p w14:paraId="1228F05F"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-0.059</w:t>
            </w:r>
          </w:p>
        </w:tc>
        <w:tc>
          <w:tcPr>
            <w:tcW w:w="536" w:type="pct"/>
            <w:tcBorders>
              <w:top w:val="nil"/>
              <w:left w:val="nil"/>
              <w:bottom w:val="nil"/>
              <w:right w:val="nil"/>
            </w:tcBorders>
            <w:shd w:val="clear" w:color="auto" w:fill="F2F2F2" w:themeFill="background1" w:themeFillShade="F2"/>
            <w:vAlign w:val="bottom"/>
            <w:hideMark/>
          </w:tcPr>
          <w:p w14:paraId="479A2DED"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0.280</w:t>
            </w:r>
          </w:p>
        </w:tc>
        <w:tc>
          <w:tcPr>
            <w:tcW w:w="413" w:type="pct"/>
            <w:tcBorders>
              <w:top w:val="nil"/>
              <w:left w:val="nil"/>
              <w:bottom w:val="nil"/>
              <w:right w:val="nil"/>
            </w:tcBorders>
            <w:shd w:val="clear" w:color="auto" w:fill="F2F2F2" w:themeFill="background1" w:themeFillShade="F2"/>
            <w:vAlign w:val="bottom"/>
            <w:hideMark/>
          </w:tcPr>
          <w:p w14:paraId="00E0A688"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0.834</w:t>
            </w:r>
          </w:p>
        </w:tc>
      </w:tr>
      <w:tr w:rsidR="000327DF" w:rsidRPr="00583B58" w14:paraId="4EF372E1" w14:textId="77777777" w:rsidTr="00077CE6">
        <w:trPr>
          <w:trHeight w:val="330"/>
        </w:trPr>
        <w:tc>
          <w:tcPr>
            <w:tcW w:w="3321" w:type="pct"/>
            <w:tcBorders>
              <w:top w:val="nil"/>
              <w:left w:val="nil"/>
              <w:bottom w:val="nil"/>
              <w:right w:val="nil"/>
            </w:tcBorders>
            <w:shd w:val="clear" w:color="auto" w:fill="auto"/>
            <w:noWrap/>
            <w:vAlign w:val="bottom"/>
            <w:hideMark/>
          </w:tcPr>
          <w:p w14:paraId="4426C942"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 xml:space="preserve">Other NTM species (vs. </w:t>
            </w:r>
            <w:r>
              <w:rPr>
                <w:rFonts w:ascii="Arial Narrow" w:eastAsia="Times New Roman" w:hAnsi="Arial Narrow" w:cs="Calibri"/>
                <w:color w:val="000000"/>
                <w:sz w:val="20"/>
                <w:szCs w:val="20"/>
              </w:rPr>
              <w:t>absence of</w:t>
            </w:r>
            <w:r w:rsidRPr="005E3016">
              <w:rPr>
                <w:rFonts w:ascii="Arial Narrow" w:eastAsia="Times New Roman" w:hAnsi="Arial Narrow" w:cs="Calibri"/>
                <w:color w:val="000000"/>
                <w:sz w:val="20"/>
                <w:szCs w:val="20"/>
              </w:rPr>
              <w:t xml:space="preserve"> other NTM species)</w:t>
            </w:r>
          </w:p>
        </w:tc>
        <w:tc>
          <w:tcPr>
            <w:tcW w:w="730" w:type="pct"/>
            <w:tcBorders>
              <w:top w:val="nil"/>
              <w:left w:val="nil"/>
              <w:bottom w:val="nil"/>
              <w:right w:val="nil"/>
            </w:tcBorders>
            <w:shd w:val="clear" w:color="auto" w:fill="auto"/>
            <w:vAlign w:val="bottom"/>
            <w:hideMark/>
          </w:tcPr>
          <w:p w14:paraId="1F03BD59"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0.016</w:t>
            </w:r>
          </w:p>
        </w:tc>
        <w:tc>
          <w:tcPr>
            <w:tcW w:w="536" w:type="pct"/>
            <w:tcBorders>
              <w:top w:val="nil"/>
              <w:left w:val="nil"/>
              <w:bottom w:val="nil"/>
              <w:right w:val="nil"/>
            </w:tcBorders>
            <w:shd w:val="clear" w:color="auto" w:fill="auto"/>
            <w:vAlign w:val="bottom"/>
            <w:hideMark/>
          </w:tcPr>
          <w:p w14:paraId="6D83C709"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0.438</w:t>
            </w:r>
          </w:p>
        </w:tc>
        <w:tc>
          <w:tcPr>
            <w:tcW w:w="413" w:type="pct"/>
            <w:tcBorders>
              <w:top w:val="nil"/>
              <w:left w:val="nil"/>
              <w:bottom w:val="nil"/>
              <w:right w:val="nil"/>
            </w:tcBorders>
            <w:shd w:val="clear" w:color="auto" w:fill="auto"/>
            <w:vAlign w:val="bottom"/>
            <w:hideMark/>
          </w:tcPr>
          <w:p w14:paraId="73779DF3"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0.970</w:t>
            </w:r>
          </w:p>
        </w:tc>
      </w:tr>
      <w:tr w:rsidR="000327DF" w:rsidRPr="00583B58" w14:paraId="1621C5C7" w14:textId="77777777" w:rsidTr="00077CE6">
        <w:trPr>
          <w:trHeight w:val="330"/>
        </w:trPr>
        <w:tc>
          <w:tcPr>
            <w:tcW w:w="3321" w:type="pct"/>
            <w:tcBorders>
              <w:top w:val="nil"/>
              <w:left w:val="nil"/>
              <w:bottom w:val="nil"/>
              <w:right w:val="nil"/>
            </w:tcBorders>
            <w:shd w:val="clear" w:color="000000" w:fill="F2F2F2"/>
            <w:noWrap/>
            <w:vAlign w:val="bottom"/>
            <w:hideMark/>
          </w:tcPr>
          <w:p w14:paraId="6C8B0876"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Remains positive (vs. converted to negative)</w:t>
            </w:r>
          </w:p>
        </w:tc>
        <w:tc>
          <w:tcPr>
            <w:tcW w:w="730" w:type="pct"/>
            <w:tcBorders>
              <w:top w:val="nil"/>
              <w:left w:val="nil"/>
              <w:bottom w:val="nil"/>
              <w:right w:val="nil"/>
            </w:tcBorders>
            <w:shd w:val="clear" w:color="auto" w:fill="F2F2F2" w:themeFill="background1" w:themeFillShade="F2"/>
            <w:vAlign w:val="bottom"/>
            <w:hideMark/>
          </w:tcPr>
          <w:p w14:paraId="2CD0983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0.098</w:t>
            </w:r>
          </w:p>
        </w:tc>
        <w:tc>
          <w:tcPr>
            <w:tcW w:w="536" w:type="pct"/>
            <w:tcBorders>
              <w:top w:val="nil"/>
              <w:left w:val="nil"/>
              <w:bottom w:val="nil"/>
              <w:right w:val="nil"/>
            </w:tcBorders>
            <w:shd w:val="clear" w:color="auto" w:fill="F2F2F2" w:themeFill="background1" w:themeFillShade="F2"/>
            <w:vAlign w:val="bottom"/>
            <w:hideMark/>
          </w:tcPr>
          <w:p w14:paraId="596B7D6B"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0.098</w:t>
            </w:r>
          </w:p>
        </w:tc>
        <w:tc>
          <w:tcPr>
            <w:tcW w:w="413" w:type="pct"/>
            <w:tcBorders>
              <w:top w:val="nil"/>
              <w:left w:val="nil"/>
              <w:bottom w:val="nil"/>
              <w:right w:val="nil"/>
            </w:tcBorders>
            <w:shd w:val="clear" w:color="auto" w:fill="F2F2F2" w:themeFill="background1" w:themeFillShade="F2"/>
            <w:vAlign w:val="bottom"/>
            <w:hideMark/>
          </w:tcPr>
          <w:p w14:paraId="0BB7681D"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0.320</w:t>
            </w:r>
          </w:p>
        </w:tc>
      </w:tr>
      <w:tr w:rsidR="000327DF" w:rsidRPr="00583B58" w14:paraId="5383C78F" w14:textId="77777777" w:rsidTr="00077CE6">
        <w:trPr>
          <w:trHeight w:val="288"/>
        </w:trPr>
        <w:tc>
          <w:tcPr>
            <w:tcW w:w="3321" w:type="pct"/>
            <w:tcBorders>
              <w:top w:val="nil"/>
              <w:left w:val="nil"/>
              <w:bottom w:val="nil"/>
              <w:right w:val="nil"/>
            </w:tcBorders>
            <w:shd w:val="clear" w:color="auto" w:fill="auto"/>
            <w:noWrap/>
            <w:vAlign w:val="bottom"/>
            <w:hideMark/>
          </w:tcPr>
          <w:p w14:paraId="28AD2156"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Female sex (vs. male)</w:t>
            </w:r>
          </w:p>
        </w:tc>
        <w:tc>
          <w:tcPr>
            <w:tcW w:w="730" w:type="pct"/>
            <w:tcBorders>
              <w:top w:val="nil"/>
              <w:left w:val="nil"/>
              <w:bottom w:val="nil"/>
              <w:right w:val="nil"/>
            </w:tcBorders>
            <w:shd w:val="clear" w:color="auto" w:fill="auto"/>
            <w:vAlign w:val="bottom"/>
            <w:hideMark/>
          </w:tcPr>
          <w:p w14:paraId="14E4A30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-0.042</w:t>
            </w:r>
          </w:p>
        </w:tc>
        <w:tc>
          <w:tcPr>
            <w:tcW w:w="536" w:type="pct"/>
            <w:tcBorders>
              <w:top w:val="nil"/>
              <w:left w:val="nil"/>
              <w:bottom w:val="nil"/>
              <w:right w:val="nil"/>
            </w:tcBorders>
            <w:shd w:val="clear" w:color="auto" w:fill="auto"/>
            <w:vAlign w:val="bottom"/>
            <w:hideMark/>
          </w:tcPr>
          <w:p w14:paraId="224E3123" w14:textId="77777777" w:rsidR="000327DF" w:rsidRDefault="000327DF" w:rsidP="00077CE6">
            <w:pPr>
              <w:keepNext/>
              <w:keepLines/>
              <w:spacing w:after="0" w:line="240" w:lineRule="auto"/>
              <w:jc w:val="right"/>
              <w:outlineLvl w:val="0"/>
              <w:rPr>
                <w:rFonts w:ascii="Arial Narrow" w:eastAsia="Times New Roman" w:hAnsi="Arial Narrow" w:cs="Calibri"/>
                <w:color w:val="000000"/>
                <w:sz w:val="20"/>
                <w:szCs w:val="20"/>
              </w:rPr>
            </w:pPr>
            <w:r w:rsidRPr="005E3016">
              <w:rPr>
                <w:rFonts w:ascii="Arial Narrow" w:hAnsi="Arial Narrow" w:cs="Calibri"/>
                <w:color w:val="000000"/>
                <w:sz w:val="20"/>
                <w:szCs w:val="20"/>
              </w:rPr>
              <w:t>0.109</w:t>
            </w:r>
          </w:p>
        </w:tc>
        <w:tc>
          <w:tcPr>
            <w:tcW w:w="413" w:type="pct"/>
            <w:tcBorders>
              <w:top w:val="nil"/>
              <w:left w:val="nil"/>
              <w:bottom w:val="nil"/>
              <w:right w:val="nil"/>
            </w:tcBorders>
            <w:shd w:val="clear" w:color="auto" w:fill="auto"/>
            <w:vAlign w:val="bottom"/>
            <w:hideMark/>
          </w:tcPr>
          <w:p w14:paraId="2CBFC20A" w14:textId="77777777" w:rsidR="000327DF" w:rsidRDefault="000327DF" w:rsidP="00077CE6">
            <w:pPr>
              <w:keepNext/>
              <w:keepLines/>
              <w:spacing w:after="0" w:line="240" w:lineRule="auto"/>
              <w:jc w:val="right"/>
              <w:outlineLvl w:val="0"/>
              <w:rPr>
                <w:rFonts w:ascii="Arial Narrow" w:eastAsia="Times New Roman" w:hAnsi="Arial Narrow" w:cs="Calibri"/>
                <w:color w:val="000000"/>
                <w:sz w:val="20"/>
                <w:szCs w:val="20"/>
              </w:rPr>
            </w:pPr>
            <w:r w:rsidRPr="005E3016">
              <w:rPr>
                <w:rFonts w:ascii="Arial Narrow" w:hAnsi="Arial Narrow" w:cs="Calibri"/>
                <w:color w:val="000000"/>
                <w:sz w:val="20"/>
                <w:szCs w:val="20"/>
              </w:rPr>
              <w:t>0.700</w:t>
            </w:r>
          </w:p>
        </w:tc>
      </w:tr>
      <w:tr w:rsidR="000327DF" w:rsidRPr="00583B58" w14:paraId="7D25D61C" w14:textId="77777777" w:rsidTr="00077CE6">
        <w:trPr>
          <w:trHeight w:val="330"/>
        </w:trPr>
        <w:tc>
          <w:tcPr>
            <w:tcW w:w="3321" w:type="pct"/>
            <w:tcBorders>
              <w:top w:val="nil"/>
              <w:left w:val="nil"/>
              <w:bottom w:val="nil"/>
              <w:right w:val="nil"/>
            </w:tcBorders>
            <w:shd w:val="clear" w:color="auto" w:fill="F2F2F2" w:themeFill="background1" w:themeFillShade="F2"/>
            <w:noWrap/>
            <w:vAlign w:val="bottom"/>
            <w:hideMark/>
          </w:tcPr>
          <w:p w14:paraId="018B8F32"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Non-smoker (vs. smoker)</w:t>
            </w:r>
          </w:p>
        </w:tc>
        <w:tc>
          <w:tcPr>
            <w:tcW w:w="730" w:type="pct"/>
            <w:tcBorders>
              <w:top w:val="nil"/>
              <w:left w:val="nil"/>
              <w:bottom w:val="nil"/>
              <w:right w:val="nil"/>
            </w:tcBorders>
            <w:shd w:val="clear" w:color="auto" w:fill="F2F2F2" w:themeFill="background1" w:themeFillShade="F2"/>
            <w:vAlign w:val="bottom"/>
            <w:hideMark/>
          </w:tcPr>
          <w:p w14:paraId="62012743"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-0.022</w:t>
            </w:r>
          </w:p>
        </w:tc>
        <w:tc>
          <w:tcPr>
            <w:tcW w:w="536" w:type="pct"/>
            <w:tcBorders>
              <w:top w:val="nil"/>
              <w:left w:val="nil"/>
              <w:bottom w:val="nil"/>
              <w:right w:val="nil"/>
            </w:tcBorders>
            <w:shd w:val="clear" w:color="auto" w:fill="F2F2F2" w:themeFill="background1" w:themeFillShade="F2"/>
            <w:vAlign w:val="bottom"/>
            <w:hideMark/>
          </w:tcPr>
          <w:p w14:paraId="614C14B9"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0.115</w:t>
            </w:r>
          </w:p>
        </w:tc>
        <w:tc>
          <w:tcPr>
            <w:tcW w:w="413" w:type="pct"/>
            <w:tcBorders>
              <w:top w:val="nil"/>
              <w:left w:val="nil"/>
              <w:bottom w:val="nil"/>
              <w:right w:val="nil"/>
            </w:tcBorders>
            <w:shd w:val="clear" w:color="auto" w:fill="F2F2F2" w:themeFill="background1" w:themeFillShade="F2"/>
            <w:vAlign w:val="bottom"/>
            <w:hideMark/>
          </w:tcPr>
          <w:p w14:paraId="3EC3EB47"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0.849</w:t>
            </w:r>
          </w:p>
        </w:tc>
      </w:tr>
      <w:tr w:rsidR="000327DF" w:rsidRPr="00583B58" w14:paraId="0817C254" w14:textId="77777777" w:rsidTr="00077CE6">
        <w:trPr>
          <w:trHeight w:val="330"/>
        </w:trPr>
        <w:tc>
          <w:tcPr>
            <w:tcW w:w="3321" w:type="pct"/>
            <w:tcBorders>
              <w:top w:val="nil"/>
              <w:left w:val="nil"/>
              <w:bottom w:val="nil"/>
              <w:right w:val="nil"/>
            </w:tcBorders>
            <w:shd w:val="clear" w:color="auto" w:fill="F2F2F2" w:themeFill="background1" w:themeFillShade="F2"/>
            <w:noWrap/>
            <w:vAlign w:val="bottom"/>
            <w:hideMark/>
          </w:tcPr>
          <w:p w14:paraId="2F93EFC7"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Unknown smoking status (vs. smoker)</w:t>
            </w:r>
          </w:p>
        </w:tc>
        <w:tc>
          <w:tcPr>
            <w:tcW w:w="730" w:type="pct"/>
            <w:tcBorders>
              <w:top w:val="nil"/>
              <w:left w:val="nil"/>
              <w:bottom w:val="nil"/>
              <w:right w:val="nil"/>
            </w:tcBorders>
            <w:shd w:val="clear" w:color="auto" w:fill="F2F2F2" w:themeFill="background1" w:themeFillShade="F2"/>
            <w:vAlign w:val="bottom"/>
            <w:hideMark/>
          </w:tcPr>
          <w:p w14:paraId="596265A8"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-0.452</w:t>
            </w:r>
          </w:p>
        </w:tc>
        <w:tc>
          <w:tcPr>
            <w:tcW w:w="536" w:type="pct"/>
            <w:tcBorders>
              <w:top w:val="nil"/>
              <w:left w:val="nil"/>
              <w:bottom w:val="nil"/>
              <w:right w:val="nil"/>
            </w:tcBorders>
            <w:shd w:val="clear" w:color="auto" w:fill="F2F2F2" w:themeFill="background1" w:themeFillShade="F2"/>
            <w:vAlign w:val="bottom"/>
            <w:hideMark/>
          </w:tcPr>
          <w:p w14:paraId="2EE2B8FF"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0.256</w:t>
            </w:r>
          </w:p>
        </w:tc>
        <w:tc>
          <w:tcPr>
            <w:tcW w:w="413" w:type="pct"/>
            <w:tcBorders>
              <w:top w:val="nil"/>
              <w:left w:val="nil"/>
              <w:bottom w:val="nil"/>
              <w:right w:val="nil"/>
            </w:tcBorders>
            <w:shd w:val="clear" w:color="auto" w:fill="F2F2F2" w:themeFill="background1" w:themeFillShade="F2"/>
            <w:vAlign w:val="bottom"/>
            <w:hideMark/>
          </w:tcPr>
          <w:p w14:paraId="4ADFD5BE"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0.079</w:t>
            </w:r>
          </w:p>
        </w:tc>
      </w:tr>
      <w:tr w:rsidR="000327DF" w:rsidRPr="00583B58" w14:paraId="35B2358C" w14:textId="77777777" w:rsidTr="00077CE6">
        <w:trPr>
          <w:trHeight w:val="330"/>
        </w:trPr>
        <w:tc>
          <w:tcPr>
            <w:tcW w:w="3321" w:type="pct"/>
            <w:tcBorders>
              <w:top w:val="nil"/>
              <w:left w:val="nil"/>
              <w:bottom w:val="nil"/>
              <w:right w:val="nil"/>
            </w:tcBorders>
            <w:shd w:val="clear" w:color="auto" w:fill="auto"/>
            <w:noWrap/>
            <w:vAlign w:val="bottom"/>
            <w:hideMark/>
          </w:tcPr>
          <w:p w14:paraId="1286BE00"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 xml:space="preserve">Bronchiectasis (vs. </w:t>
            </w:r>
            <w:r>
              <w:rPr>
                <w:rFonts w:ascii="Arial Narrow" w:eastAsia="Times New Roman" w:hAnsi="Arial Narrow" w:cs="Calibri"/>
                <w:color w:val="000000"/>
                <w:sz w:val="20"/>
                <w:szCs w:val="20"/>
              </w:rPr>
              <w:t>absence of b</w:t>
            </w:r>
            <w:r w:rsidRPr="00583B58">
              <w:rPr>
                <w:rFonts w:ascii="Arial Narrow" w:eastAsia="Times New Roman" w:hAnsi="Arial Narrow" w:cs="Calibri"/>
                <w:color w:val="000000"/>
                <w:sz w:val="20"/>
                <w:szCs w:val="20"/>
              </w:rPr>
              <w:t>ronchiectasis</w:t>
            </w:r>
            <w:r w:rsidRPr="005E3016">
              <w:rPr>
                <w:rFonts w:ascii="Arial Narrow" w:eastAsia="Times New Roman" w:hAnsi="Arial Narrow" w:cs="Calibri"/>
                <w:color w:val="000000"/>
                <w:sz w:val="20"/>
                <w:szCs w:val="20"/>
              </w:rPr>
              <w:t>)</w:t>
            </w:r>
          </w:p>
        </w:tc>
        <w:tc>
          <w:tcPr>
            <w:tcW w:w="730" w:type="pct"/>
            <w:tcBorders>
              <w:top w:val="nil"/>
              <w:left w:val="nil"/>
              <w:bottom w:val="nil"/>
              <w:right w:val="nil"/>
            </w:tcBorders>
            <w:shd w:val="clear" w:color="auto" w:fill="auto"/>
            <w:vAlign w:val="bottom"/>
            <w:hideMark/>
          </w:tcPr>
          <w:p w14:paraId="5633C34A"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-0.303</w:t>
            </w:r>
          </w:p>
        </w:tc>
        <w:tc>
          <w:tcPr>
            <w:tcW w:w="536" w:type="pct"/>
            <w:tcBorders>
              <w:top w:val="nil"/>
              <w:left w:val="nil"/>
              <w:bottom w:val="nil"/>
              <w:right w:val="nil"/>
            </w:tcBorders>
            <w:shd w:val="clear" w:color="auto" w:fill="auto"/>
            <w:vAlign w:val="bottom"/>
            <w:hideMark/>
          </w:tcPr>
          <w:p w14:paraId="1AD7DE0E"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0.098</w:t>
            </w:r>
          </w:p>
        </w:tc>
        <w:tc>
          <w:tcPr>
            <w:tcW w:w="413" w:type="pct"/>
            <w:tcBorders>
              <w:top w:val="nil"/>
              <w:left w:val="nil"/>
              <w:bottom w:val="nil"/>
              <w:right w:val="nil"/>
            </w:tcBorders>
            <w:shd w:val="clear" w:color="000000" w:fill="FFC7CE"/>
            <w:vAlign w:val="bottom"/>
            <w:hideMark/>
          </w:tcPr>
          <w:p w14:paraId="666E6F56" w14:textId="77777777" w:rsidR="000327DF" w:rsidRDefault="000327DF" w:rsidP="00077CE6">
            <w:pPr>
              <w:spacing w:before="120" w:after="0" w:line="240" w:lineRule="auto"/>
              <w:jc w:val="right"/>
              <w:rPr>
                <w:rFonts w:ascii="Arial Narrow" w:eastAsia="Times New Roman" w:hAnsi="Arial Narrow" w:cs="Calibri"/>
                <w:color w:val="9C0006"/>
                <w:sz w:val="20"/>
                <w:szCs w:val="20"/>
              </w:rPr>
            </w:pPr>
            <w:r w:rsidRPr="005E3016">
              <w:rPr>
                <w:rFonts w:ascii="Arial Narrow" w:hAnsi="Arial Narrow" w:cs="Calibri"/>
                <w:color w:val="9C0006"/>
                <w:sz w:val="20"/>
                <w:szCs w:val="20"/>
              </w:rPr>
              <w:t>0.002</w:t>
            </w:r>
          </w:p>
        </w:tc>
      </w:tr>
      <w:tr w:rsidR="000327DF" w:rsidRPr="00583B58" w14:paraId="0204F1AC" w14:textId="77777777" w:rsidTr="00077CE6">
        <w:trPr>
          <w:trHeight w:val="330"/>
        </w:trPr>
        <w:tc>
          <w:tcPr>
            <w:tcW w:w="3321" w:type="pct"/>
            <w:tcBorders>
              <w:top w:val="nil"/>
              <w:left w:val="nil"/>
              <w:bottom w:val="nil"/>
              <w:right w:val="nil"/>
            </w:tcBorders>
            <w:shd w:val="clear" w:color="auto" w:fill="F2F2F2" w:themeFill="background1" w:themeFillShade="F2"/>
            <w:noWrap/>
            <w:vAlign w:val="bottom"/>
            <w:hideMark/>
          </w:tcPr>
          <w:p w14:paraId="10BD06A4"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No private insurance (vs. privately insured)</w:t>
            </w:r>
          </w:p>
        </w:tc>
        <w:tc>
          <w:tcPr>
            <w:tcW w:w="730" w:type="pct"/>
            <w:tcBorders>
              <w:top w:val="nil"/>
              <w:left w:val="nil"/>
              <w:bottom w:val="nil"/>
              <w:right w:val="nil"/>
            </w:tcBorders>
            <w:shd w:val="clear" w:color="auto" w:fill="F2F2F2" w:themeFill="background1" w:themeFillShade="F2"/>
            <w:vAlign w:val="bottom"/>
            <w:hideMark/>
          </w:tcPr>
          <w:p w14:paraId="3EB47FB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0.013</w:t>
            </w:r>
          </w:p>
        </w:tc>
        <w:tc>
          <w:tcPr>
            <w:tcW w:w="536" w:type="pct"/>
            <w:tcBorders>
              <w:top w:val="nil"/>
              <w:left w:val="nil"/>
              <w:bottom w:val="nil"/>
              <w:right w:val="nil"/>
            </w:tcBorders>
            <w:shd w:val="clear" w:color="auto" w:fill="F2F2F2" w:themeFill="background1" w:themeFillShade="F2"/>
            <w:vAlign w:val="bottom"/>
            <w:hideMark/>
          </w:tcPr>
          <w:p w14:paraId="2D939965"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0.127</w:t>
            </w:r>
          </w:p>
        </w:tc>
        <w:tc>
          <w:tcPr>
            <w:tcW w:w="413" w:type="pct"/>
            <w:tcBorders>
              <w:top w:val="nil"/>
              <w:left w:val="nil"/>
              <w:bottom w:val="nil"/>
              <w:right w:val="nil"/>
            </w:tcBorders>
            <w:shd w:val="clear" w:color="auto" w:fill="F2F2F2" w:themeFill="background1" w:themeFillShade="F2"/>
            <w:vAlign w:val="bottom"/>
            <w:hideMark/>
          </w:tcPr>
          <w:p w14:paraId="12708758"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0.921</w:t>
            </w:r>
          </w:p>
        </w:tc>
      </w:tr>
      <w:tr w:rsidR="000327DF" w:rsidRPr="00583B58" w14:paraId="4622A5F4" w14:textId="77777777" w:rsidTr="00077CE6">
        <w:trPr>
          <w:trHeight w:val="330"/>
        </w:trPr>
        <w:tc>
          <w:tcPr>
            <w:tcW w:w="3321" w:type="pct"/>
            <w:tcBorders>
              <w:top w:val="nil"/>
              <w:left w:val="nil"/>
              <w:bottom w:val="nil"/>
              <w:right w:val="nil"/>
            </w:tcBorders>
            <w:shd w:val="clear" w:color="auto" w:fill="F2F2F2" w:themeFill="background1" w:themeFillShade="F2"/>
            <w:noWrap/>
            <w:vAlign w:val="bottom"/>
            <w:hideMark/>
          </w:tcPr>
          <w:p w14:paraId="12B7F787"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Unknown private insurance (vs. privately insured)</w:t>
            </w:r>
          </w:p>
        </w:tc>
        <w:tc>
          <w:tcPr>
            <w:tcW w:w="730" w:type="pct"/>
            <w:tcBorders>
              <w:top w:val="nil"/>
              <w:left w:val="nil"/>
              <w:bottom w:val="nil"/>
              <w:right w:val="nil"/>
            </w:tcBorders>
            <w:shd w:val="clear" w:color="auto" w:fill="F2F2F2" w:themeFill="background1" w:themeFillShade="F2"/>
            <w:vAlign w:val="bottom"/>
            <w:hideMark/>
          </w:tcPr>
          <w:p w14:paraId="369FB7AF"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-0.124</w:t>
            </w:r>
          </w:p>
        </w:tc>
        <w:tc>
          <w:tcPr>
            <w:tcW w:w="536" w:type="pct"/>
            <w:tcBorders>
              <w:top w:val="nil"/>
              <w:left w:val="nil"/>
              <w:bottom w:val="nil"/>
              <w:right w:val="nil"/>
            </w:tcBorders>
            <w:shd w:val="clear" w:color="auto" w:fill="F2F2F2" w:themeFill="background1" w:themeFillShade="F2"/>
            <w:vAlign w:val="bottom"/>
            <w:hideMark/>
          </w:tcPr>
          <w:p w14:paraId="2856838D"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0.154</w:t>
            </w:r>
          </w:p>
        </w:tc>
        <w:tc>
          <w:tcPr>
            <w:tcW w:w="413" w:type="pct"/>
            <w:tcBorders>
              <w:top w:val="nil"/>
              <w:left w:val="nil"/>
              <w:bottom w:val="nil"/>
              <w:right w:val="nil"/>
            </w:tcBorders>
            <w:shd w:val="clear" w:color="auto" w:fill="F2F2F2" w:themeFill="background1" w:themeFillShade="F2"/>
            <w:vAlign w:val="bottom"/>
            <w:hideMark/>
          </w:tcPr>
          <w:p w14:paraId="1A017CEF"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0.420</w:t>
            </w:r>
          </w:p>
        </w:tc>
      </w:tr>
      <w:tr w:rsidR="000327DF" w:rsidRPr="00583B58" w14:paraId="0A1BA041" w14:textId="77777777" w:rsidTr="00077CE6">
        <w:trPr>
          <w:trHeight w:val="330"/>
        </w:trPr>
        <w:tc>
          <w:tcPr>
            <w:tcW w:w="3321" w:type="pct"/>
            <w:tcBorders>
              <w:top w:val="nil"/>
              <w:left w:val="nil"/>
              <w:bottom w:val="nil"/>
              <w:right w:val="nil"/>
            </w:tcBorders>
            <w:shd w:val="clear" w:color="auto" w:fill="auto"/>
            <w:noWrap/>
            <w:vAlign w:val="bottom"/>
            <w:hideMark/>
          </w:tcPr>
          <w:p w14:paraId="3A456645"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Not referred for social services (vs. referred)</w:t>
            </w:r>
          </w:p>
        </w:tc>
        <w:tc>
          <w:tcPr>
            <w:tcW w:w="730" w:type="pct"/>
            <w:tcBorders>
              <w:top w:val="nil"/>
              <w:left w:val="nil"/>
              <w:bottom w:val="nil"/>
              <w:right w:val="nil"/>
            </w:tcBorders>
            <w:shd w:val="clear" w:color="auto" w:fill="auto"/>
            <w:vAlign w:val="bottom"/>
            <w:hideMark/>
          </w:tcPr>
          <w:p w14:paraId="13713CBC"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0.013</w:t>
            </w:r>
          </w:p>
        </w:tc>
        <w:tc>
          <w:tcPr>
            <w:tcW w:w="536" w:type="pct"/>
            <w:tcBorders>
              <w:top w:val="nil"/>
              <w:left w:val="nil"/>
              <w:bottom w:val="nil"/>
              <w:right w:val="nil"/>
            </w:tcBorders>
            <w:shd w:val="clear" w:color="auto" w:fill="auto"/>
            <w:vAlign w:val="bottom"/>
            <w:hideMark/>
          </w:tcPr>
          <w:p w14:paraId="7A33BFB3"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0.127</w:t>
            </w:r>
          </w:p>
        </w:tc>
        <w:tc>
          <w:tcPr>
            <w:tcW w:w="413" w:type="pct"/>
            <w:tcBorders>
              <w:top w:val="nil"/>
              <w:left w:val="nil"/>
              <w:bottom w:val="nil"/>
              <w:right w:val="nil"/>
            </w:tcBorders>
            <w:shd w:val="clear" w:color="auto" w:fill="auto"/>
            <w:vAlign w:val="bottom"/>
            <w:hideMark/>
          </w:tcPr>
          <w:p w14:paraId="2E4E3A34"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0.921</w:t>
            </w:r>
          </w:p>
        </w:tc>
      </w:tr>
      <w:tr w:rsidR="000327DF" w:rsidRPr="00583B58" w14:paraId="69790C31" w14:textId="77777777" w:rsidTr="00077CE6">
        <w:trPr>
          <w:trHeight w:val="330"/>
        </w:trPr>
        <w:tc>
          <w:tcPr>
            <w:tcW w:w="3321" w:type="pct"/>
            <w:tcBorders>
              <w:top w:val="nil"/>
              <w:left w:val="nil"/>
              <w:bottom w:val="nil"/>
              <w:right w:val="nil"/>
            </w:tcBorders>
            <w:shd w:val="clear" w:color="auto" w:fill="auto"/>
            <w:noWrap/>
            <w:vAlign w:val="bottom"/>
            <w:hideMark/>
          </w:tcPr>
          <w:p w14:paraId="60DF9C67"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Unknown if referred for social services (vs. referred)</w:t>
            </w:r>
          </w:p>
        </w:tc>
        <w:tc>
          <w:tcPr>
            <w:tcW w:w="730" w:type="pct"/>
            <w:tcBorders>
              <w:top w:val="nil"/>
              <w:left w:val="nil"/>
              <w:bottom w:val="nil"/>
              <w:right w:val="nil"/>
            </w:tcBorders>
            <w:shd w:val="clear" w:color="auto" w:fill="auto"/>
            <w:vAlign w:val="bottom"/>
            <w:hideMark/>
          </w:tcPr>
          <w:p w14:paraId="7D7FFD7F"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-0.124</w:t>
            </w:r>
          </w:p>
        </w:tc>
        <w:tc>
          <w:tcPr>
            <w:tcW w:w="536" w:type="pct"/>
            <w:tcBorders>
              <w:top w:val="nil"/>
              <w:left w:val="nil"/>
              <w:bottom w:val="nil"/>
              <w:right w:val="nil"/>
            </w:tcBorders>
            <w:shd w:val="clear" w:color="auto" w:fill="auto"/>
            <w:vAlign w:val="bottom"/>
            <w:hideMark/>
          </w:tcPr>
          <w:p w14:paraId="322CE86C"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0.154</w:t>
            </w:r>
          </w:p>
        </w:tc>
        <w:tc>
          <w:tcPr>
            <w:tcW w:w="413" w:type="pct"/>
            <w:tcBorders>
              <w:top w:val="nil"/>
              <w:left w:val="nil"/>
              <w:bottom w:val="nil"/>
              <w:right w:val="nil"/>
            </w:tcBorders>
            <w:shd w:val="clear" w:color="auto" w:fill="auto"/>
            <w:vAlign w:val="bottom"/>
            <w:hideMark/>
          </w:tcPr>
          <w:p w14:paraId="7FDD57AA"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0.420</w:t>
            </w:r>
          </w:p>
        </w:tc>
      </w:tr>
      <w:tr w:rsidR="000327DF" w:rsidRPr="00583B58" w14:paraId="19921F6F" w14:textId="77777777" w:rsidTr="00077CE6">
        <w:trPr>
          <w:trHeight w:val="330"/>
        </w:trPr>
        <w:tc>
          <w:tcPr>
            <w:tcW w:w="3321" w:type="pct"/>
            <w:tcBorders>
              <w:top w:val="nil"/>
              <w:left w:val="nil"/>
              <w:bottom w:val="nil"/>
              <w:right w:val="nil"/>
            </w:tcBorders>
            <w:shd w:val="clear" w:color="auto" w:fill="F2F2F2" w:themeFill="background1" w:themeFillShade="F2"/>
            <w:noWrap/>
            <w:vAlign w:val="bottom"/>
            <w:hideMark/>
          </w:tcPr>
          <w:p w14:paraId="63D5A251"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Nodular or cavitary opacities on chest radiograph (vs. none)</w:t>
            </w:r>
          </w:p>
        </w:tc>
        <w:tc>
          <w:tcPr>
            <w:tcW w:w="730" w:type="pct"/>
            <w:tcBorders>
              <w:top w:val="nil"/>
              <w:left w:val="nil"/>
              <w:bottom w:val="nil"/>
              <w:right w:val="nil"/>
            </w:tcBorders>
            <w:shd w:val="clear" w:color="auto" w:fill="F2F2F2" w:themeFill="background1" w:themeFillShade="F2"/>
            <w:vAlign w:val="bottom"/>
            <w:hideMark/>
          </w:tcPr>
          <w:p w14:paraId="15C0FA8F"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0.078</w:t>
            </w:r>
          </w:p>
        </w:tc>
        <w:tc>
          <w:tcPr>
            <w:tcW w:w="536" w:type="pct"/>
            <w:tcBorders>
              <w:top w:val="nil"/>
              <w:left w:val="nil"/>
              <w:bottom w:val="nil"/>
              <w:right w:val="nil"/>
            </w:tcBorders>
            <w:shd w:val="clear" w:color="auto" w:fill="F2F2F2" w:themeFill="background1" w:themeFillShade="F2"/>
            <w:vAlign w:val="bottom"/>
            <w:hideMark/>
          </w:tcPr>
          <w:p w14:paraId="27590077"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0.139</w:t>
            </w:r>
          </w:p>
        </w:tc>
        <w:tc>
          <w:tcPr>
            <w:tcW w:w="413" w:type="pct"/>
            <w:tcBorders>
              <w:top w:val="nil"/>
              <w:left w:val="nil"/>
              <w:bottom w:val="nil"/>
              <w:right w:val="nil"/>
            </w:tcBorders>
            <w:shd w:val="clear" w:color="auto" w:fill="F2F2F2" w:themeFill="background1" w:themeFillShade="F2"/>
            <w:vAlign w:val="bottom"/>
            <w:hideMark/>
          </w:tcPr>
          <w:p w14:paraId="1C7397C5"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0.576</w:t>
            </w:r>
          </w:p>
        </w:tc>
      </w:tr>
      <w:tr w:rsidR="000327DF" w:rsidRPr="00583B58" w14:paraId="3782510B" w14:textId="77777777" w:rsidTr="00077CE6">
        <w:trPr>
          <w:trHeight w:val="330"/>
        </w:trPr>
        <w:tc>
          <w:tcPr>
            <w:tcW w:w="3321" w:type="pct"/>
            <w:tcBorders>
              <w:top w:val="nil"/>
              <w:left w:val="nil"/>
              <w:bottom w:val="nil"/>
              <w:right w:val="nil"/>
            </w:tcBorders>
            <w:shd w:val="clear" w:color="000000" w:fill="F2F2F2"/>
            <w:noWrap/>
            <w:vAlign w:val="bottom"/>
            <w:hideMark/>
          </w:tcPr>
          <w:p w14:paraId="15CCA803"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Unknown if nodular or cavitary opacities on chest radiograph (vs. none)</w:t>
            </w:r>
          </w:p>
        </w:tc>
        <w:tc>
          <w:tcPr>
            <w:tcW w:w="730" w:type="pct"/>
            <w:tcBorders>
              <w:top w:val="nil"/>
              <w:left w:val="nil"/>
              <w:bottom w:val="nil"/>
              <w:right w:val="nil"/>
            </w:tcBorders>
            <w:shd w:val="clear" w:color="auto" w:fill="F2F2F2" w:themeFill="background1" w:themeFillShade="F2"/>
            <w:vAlign w:val="bottom"/>
            <w:hideMark/>
          </w:tcPr>
          <w:p w14:paraId="675647E4"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-0.284</w:t>
            </w:r>
          </w:p>
        </w:tc>
        <w:tc>
          <w:tcPr>
            <w:tcW w:w="536" w:type="pct"/>
            <w:tcBorders>
              <w:top w:val="nil"/>
              <w:left w:val="nil"/>
              <w:bottom w:val="nil"/>
              <w:right w:val="nil"/>
            </w:tcBorders>
            <w:shd w:val="clear" w:color="auto" w:fill="F2F2F2" w:themeFill="background1" w:themeFillShade="F2"/>
            <w:vAlign w:val="bottom"/>
            <w:hideMark/>
          </w:tcPr>
          <w:p w14:paraId="7410D6A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0.140</w:t>
            </w:r>
          </w:p>
        </w:tc>
        <w:tc>
          <w:tcPr>
            <w:tcW w:w="413" w:type="pct"/>
            <w:tcBorders>
              <w:top w:val="nil"/>
              <w:left w:val="nil"/>
              <w:bottom w:val="nil"/>
              <w:right w:val="nil"/>
            </w:tcBorders>
            <w:shd w:val="clear" w:color="000000" w:fill="FFC7CE"/>
            <w:vAlign w:val="bottom"/>
            <w:hideMark/>
          </w:tcPr>
          <w:p w14:paraId="4506F8C4" w14:textId="77777777" w:rsidR="000327DF" w:rsidRDefault="000327DF" w:rsidP="00077CE6">
            <w:pPr>
              <w:spacing w:before="120" w:after="0" w:line="240" w:lineRule="auto"/>
              <w:jc w:val="right"/>
              <w:rPr>
                <w:rFonts w:ascii="Arial Narrow" w:eastAsia="Times New Roman" w:hAnsi="Arial Narrow" w:cs="Calibri"/>
                <w:color w:val="9C0006"/>
                <w:sz w:val="20"/>
                <w:szCs w:val="20"/>
              </w:rPr>
            </w:pPr>
            <w:r w:rsidRPr="005E3016">
              <w:rPr>
                <w:rFonts w:ascii="Arial Narrow" w:hAnsi="Arial Narrow" w:cs="Calibri"/>
                <w:color w:val="9C0006"/>
                <w:sz w:val="20"/>
                <w:szCs w:val="20"/>
              </w:rPr>
              <w:t>0.044</w:t>
            </w:r>
          </w:p>
        </w:tc>
      </w:tr>
      <w:tr w:rsidR="000327DF" w:rsidRPr="00583B58" w14:paraId="54FF1030" w14:textId="77777777" w:rsidTr="00077CE6">
        <w:trPr>
          <w:trHeight w:val="330"/>
        </w:trPr>
        <w:tc>
          <w:tcPr>
            <w:tcW w:w="3321" w:type="pct"/>
            <w:tcBorders>
              <w:top w:val="nil"/>
              <w:left w:val="nil"/>
              <w:bottom w:val="nil"/>
              <w:right w:val="nil"/>
            </w:tcBorders>
            <w:shd w:val="clear" w:color="auto" w:fill="auto"/>
            <w:noWrap/>
            <w:vAlign w:val="bottom"/>
            <w:hideMark/>
          </w:tcPr>
          <w:p w14:paraId="1D6BE4AC"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HRCT scan shows multifocal</w:t>
            </w:r>
            <w:r>
              <w:rPr>
                <w:rFonts w:ascii="Arial Narrow" w:eastAsia="Times New Roman" w:hAnsi="Arial Narrow" w:cs="Calibri"/>
                <w:color w:val="000000"/>
                <w:sz w:val="20"/>
                <w:szCs w:val="20"/>
              </w:rPr>
              <w:t xml:space="preserve"> </w:t>
            </w:r>
            <w:r w:rsidRPr="005E3016">
              <w:rPr>
                <w:rFonts w:ascii="Arial Narrow" w:eastAsia="Times New Roman" w:hAnsi="Arial Narrow" w:cs="Calibri"/>
                <w:color w:val="000000"/>
                <w:sz w:val="20"/>
                <w:szCs w:val="20"/>
              </w:rPr>
              <w:t>bronchiectasis with multiple small nodules (vs. none)</w:t>
            </w:r>
          </w:p>
        </w:tc>
        <w:tc>
          <w:tcPr>
            <w:tcW w:w="730" w:type="pct"/>
            <w:tcBorders>
              <w:top w:val="nil"/>
              <w:left w:val="nil"/>
              <w:bottom w:val="nil"/>
              <w:right w:val="nil"/>
            </w:tcBorders>
            <w:shd w:val="clear" w:color="auto" w:fill="auto"/>
            <w:vAlign w:val="bottom"/>
            <w:hideMark/>
          </w:tcPr>
          <w:p w14:paraId="4F304D83"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0.009</w:t>
            </w:r>
          </w:p>
        </w:tc>
        <w:tc>
          <w:tcPr>
            <w:tcW w:w="536" w:type="pct"/>
            <w:tcBorders>
              <w:top w:val="nil"/>
              <w:left w:val="nil"/>
              <w:bottom w:val="nil"/>
              <w:right w:val="nil"/>
            </w:tcBorders>
            <w:shd w:val="clear" w:color="auto" w:fill="auto"/>
            <w:vAlign w:val="bottom"/>
            <w:hideMark/>
          </w:tcPr>
          <w:p w14:paraId="0B1A68D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0.122</w:t>
            </w:r>
          </w:p>
        </w:tc>
        <w:tc>
          <w:tcPr>
            <w:tcW w:w="413" w:type="pct"/>
            <w:tcBorders>
              <w:top w:val="nil"/>
              <w:left w:val="nil"/>
              <w:bottom w:val="nil"/>
              <w:right w:val="nil"/>
            </w:tcBorders>
            <w:shd w:val="clear" w:color="auto" w:fill="auto"/>
            <w:vAlign w:val="bottom"/>
            <w:hideMark/>
          </w:tcPr>
          <w:p w14:paraId="0F33E5AE"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0.944</w:t>
            </w:r>
          </w:p>
        </w:tc>
      </w:tr>
      <w:tr w:rsidR="000327DF" w:rsidRPr="00583B58" w14:paraId="4F8BF959" w14:textId="77777777" w:rsidTr="00077CE6">
        <w:trPr>
          <w:trHeight w:val="330"/>
        </w:trPr>
        <w:tc>
          <w:tcPr>
            <w:tcW w:w="3321" w:type="pct"/>
            <w:tcBorders>
              <w:top w:val="nil"/>
              <w:left w:val="nil"/>
              <w:bottom w:val="nil"/>
              <w:right w:val="nil"/>
            </w:tcBorders>
            <w:shd w:val="clear" w:color="auto" w:fill="auto"/>
            <w:noWrap/>
            <w:vAlign w:val="bottom"/>
            <w:hideMark/>
          </w:tcPr>
          <w:p w14:paraId="581CE252"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Unknown if HRCT scan shows multifocal</w:t>
            </w:r>
            <w:r>
              <w:rPr>
                <w:rFonts w:ascii="Arial Narrow" w:eastAsia="Times New Roman" w:hAnsi="Arial Narrow" w:cs="Calibri"/>
                <w:color w:val="000000"/>
                <w:sz w:val="20"/>
                <w:szCs w:val="20"/>
              </w:rPr>
              <w:t xml:space="preserve"> </w:t>
            </w:r>
            <w:r w:rsidRPr="005E3016">
              <w:rPr>
                <w:rFonts w:ascii="Arial Narrow" w:eastAsia="Times New Roman" w:hAnsi="Arial Narrow" w:cs="Calibri"/>
                <w:color w:val="000000"/>
                <w:sz w:val="20"/>
                <w:szCs w:val="20"/>
              </w:rPr>
              <w:t>bronchiectasis with multiple small nodules (vs. none)</w:t>
            </w:r>
          </w:p>
        </w:tc>
        <w:tc>
          <w:tcPr>
            <w:tcW w:w="730" w:type="pct"/>
            <w:tcBorders>
              <w:top w:val="nil"/>
              <w:left w:val="nil"/>
              <w:bottom w:val="nil"/>
              <w:right w:val="nil"/>
            </w:tcBorders>
            <w:shd w:val="clear" w:color="auto" w:fill="auto"/>
            <w:vAlign w:val="bottom"/>
            <w:hideMark/>
          </w:tcPr>
          <w:p w14:paraId="6723384E"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-0.355</w:t>
            </w:r>
          </w:p>
        </w:tc>
        <w:tc>
          <w:tcPr>
            <w:tcW w:w="536" w:type="pct"/>
            <w:tcBorders>
              <w:top w:val="nil"/>
              <w:left w:val="nil"/>
              <w:bottom w:val="nil"/>
              <w:right w:val="nil"/>
            </w:tcBorders>
            <w:shd w:val="clear" w:color="auto" w:fill="auto"/>
            <w:vAlign w:val="bottom"/>
            <w:hideMark/>
          </w:tcPr>
          <w:p w14:paraId="4D340457"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0.119</w:t>
            </w:r>
          </w:p>
        </w:tc>
        <w:tc>
          <w:tcPr>
            <w:tcW w:w="413" w:type="pct"/>
            <w:tcBorders>
              <w:top w:val="nil"/>
              <w:left w:val="nil"/>
              <w:bottom w:val="nil"/>
              <w:right w:val="nil"/>
            </w:tcBorders>
            <w:shd w:val="clear" w:color="000000" w:fill="FFC7CE"/>
            <w:vAlign w:val="bottom"/>
            <w:hideMark/>
          </w:tcPr>
          <w:p w14:paraId="5F976F0C" w14:textId="77777777" w:rsidR="000327DF" w:rsidRDefault="000327DF" w:rsidP="00077CE6">
            <w:pPr>
              <w:spacing w:before="120" w:after="0" w:line="240" w:lineRule="auto"/>
              <w:jc w:val="right"/>
              <w:rPr>
                <w:rFonts w:ascii="Arial Narrow" w:eastAsia="Times New Roman" w:hAnsi="Arial Narrow" w:cs="Calibri"/>
                <w:color w:val="9C0006"/>
                <w:sz w:val="20"/>
                <w:szCs w:val="20"/>
              </w:rPr>
            </w:pPr>
            <w:r w:rsidRPr="005E3016">
              <w:rPr>
                <w:rFonts w:ascii="Arial Narrow" w:hAnsi="Arial Narrow" w:cs="Calibri"/>
                <w:color w:val="9C0006"/>
                <w:sz w:val="20"/>
                <w:szCs w:val="20"/>
              </w:rPr>
              <w:t>0.003</w:t>
            </w:r>
          </w:p>
        </w:tc>
      </w:tr>
      <w:tr w:rsidR="000327DF" w:rsidRPr="00583B58" w14:paraId="3169A309" w14:textId="77777777" w:rsidTr="00077CE6">
        <w:trPr>
          <w:trHeight w:val="330"/>
        </w:trPr>
        <w:tc>
          <w:tcPr>
            <w:tcW w:w="3321" w:type="pct"/>
            <w:tcBorders>
              <w:top w:val="nil"/>
              <w:left w:val="nil"/>
              <w:bottom w:val="nil"/>
              <w:right w:val="nil"/>
            </w:tcBorders>
            <w:shd w:val="clear" w:color="000000" w:fill="F2F2F2"/>
            <w:noWrap/>
            <w:vAlign w:val="bottom"/>
            <w:hideMark/>
          </w:tcPr>
          <w:p w14:paraId="47E9AAF1"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HRCT scan shows cavities/nodular change (vs. none)</w:t>
            </w:r>
          </w:p>
        </w:tc>
        <w:tc>
          <w:tcPr>
            <w:tcW w:w="730" w:type="pct"/>
            <w:tcBorders>
              <w:top w:val="nil"/>
              <w:left w:val="nil"/>
              <w:bottom w:val="nil"/>
              <w:right w:val="nil"/>
            </w:tcBorders>
            <w:shd w:val="clear" w:color="auto" w:fill="F2F2F2" w:themeFill="background1" w:themeFillShade="F2"/>
            <w:vAlign w:val="bottom"/>
            <w:hideMark/>
          </w:tcPr>
          <w:p w14:paraId="6A4FB0B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-0.118</w:t>
            </w:r>
          </w:p>
        </w:tc>
        <w:tc>
          <w:tcPr>
            <w:tcW w:w="536" w:type="pct"/>
            <w:tcBorders>
              <w:top w:val="nil"/>
              <w:left w:val="nil"/>
              <w:bottom w:val="nil"/>
              <w:right w:val="nil"/>
            </w:tcBorders>
            <w:shd w:val="clear" w:color="auto" w:fill="F2F2F2" w:themeFill="background1" w:themeFillShade="F2"/>
            <w:vAlign w:val="bottom"/>
            <w:hideMark/>
          </w:tcPr>
          <w:p w14:paraId="0E3A9201"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0.121</w:t>
            </w:r>
          </w:p>
        </w:tc>
        <w:tc>
          <w:tcPr>
            <w:tcW w:w="413" w:type="pct"/>
            <w:tcBorders>
              <w:top w:val="nil"/>
              <w:left w:val="nil"/>
              <w:bottom w:val="nil"/>
              <w:right w:val="nil"/>
            </w:tcBorders>
            <w:shd w:val="clear" w:color="auto" w:fill="F2F2F2" w:themeFill="background1" w:themeFillShade="F2"/>
            <w:vAlign w:val="bottom"/>
            <w:hideMark/>
          </w:tcPr>
          <w:p w14:paraId="77FFF51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0.332</w:t>
            </w:r>
          </w:p>
        </w:tc>
      </w:tr>
      <w:tr w:rsidR="000327DF" w:rsidRPr="00583B58" w14:paraId="14497BA4" w14:textId="77777777" w:rsidTr="00077CE6">
        <w:trPr>
          <w:trHeight w:val="330"/>
        </w:trPr>
        <w:tc>
          <w:tcPr>
            <w:tcW w:w="3321" w:type="pct"/>
            <w:tcBorders>
              <w:top w:val="nil"/>
              <w:left w:val="nil"/>
              <w:bottom w:val="nil"/>
              <w:right w:val="nil"/>
            </w:tcBorders>
            <w:shd w:val="clear" w:color="000000" w:fill="F2F2F2"/>
            <w:noWrap/>
            <w:vAlign w:val="bottom"/>
            <w:hideMark/>
          </w:tcPr>
          <w:p w14:paraId="3CA04E89"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Unknown if HRCT scan shows cavities/nodular change (vs. none)</w:t>
            </w:r>
          </w:p>
        </w:tc>
        <w:tc>
          <w:tcPr>
            <w:tcW w:w="730" w:type="pct"/>
            <w:tcBorders>
              <w:top w:val="nil"/>
              <w:left w:val="nil"/>
              <w:bottom w:val="nil"/>
              <w:right w:val="nil"/>
            </w:tcBorders>
            <w:shd w:val="clear" w:color="auto" w:fill="F2F2F2" w:themeFill="background1" w:themeFillShade="F2"/>
            <w:vAlign w:val="bottom"/>
            <w:hideMark/>
          </w:tcPr>
          <w:p w14:paraId="6CF1B56F"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-0.411</w:t>
            </w:r>
          </w:p>
        </w:tc>
        <w:tc>
          <w:tcPr>
            <w:tcW w:w="536" w:type="pct"/>
            <w:tcBorders>
              <w:top w:val="nil"/>
              <w:left w:val="nil"/>
              <w:bottom w:val="nil"/>
              <w:right w:val="nil"/>
            </w:tcBorders>
            <w:shd w:val="clear" w:color="auto" w:fill="F2F2F2" w:themeFill="background1" w:themeFillShade="F2"/>
            <w:vAlign w:val="bottom"/>
            <w:hideMark/>
          </w:tcPr>
          <w:p w14:paraId="0FCA5119"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0.110</w:t>
            </w:r>
          </w:p>
        </w:tc>
        <w:tc>
          <w:tcPr>
            <w:tcW w:w="413" w:type="pct"/>
            <w:tcBorders>
              <w:top w:val="nil"/>
              <w:left w:val="nil"/>
              <w:bottom w:val="nil"/>
              <w:right w:val="nil"/>
            </w:tcBorders>
            <w:shd w:val="clear" w:color="000000" w:fill="FFC7CE"/>
            <w:vAlign w:val="bottom"/>
            <w:hideMark/>
          </w:tcPr>
          <w:p w14:paraId="5F95E39A" w14:textId="77777777" w:rsidR="000327DF" w:rsidRDefault="000327DF" w:rsidP="00077CE6">
            <w:pPr>
              <w:spacing w:before="120" w:after="0" w:line="240" w:lineRule="auto"/>
              <w:jc w:val="right"/>
              <w:rPr>
                <w:rFonts w:ascii="Arial Narrow" w:eastAsia="Times New Roman" w:hAnsi="Arial Narrow" w:cs="Calibri"/>
                <w:color w:val="9C0006"/>
                <w:sz w:val="20"/>
                <w:szCs w:val="20"/>
              </w:rPr>
            </w:pPr>
            <w:r>
              <w:rPr>
                <w:rFonts w:ascii="Arial Narrow" w:hAnsi="Arial Narrow" w:cs="Calibri"/>
                <w:color w:val="9C0006"/>
                <w:sz w:val="20"/>
                <w:szCs w:val="20"/>
              </w:rPr>
              <w:t>&lt;</w:t>
            </w:r>
            <w:r w:rsidRPr="005E3016">
              <w:rPr>
                <w:rFonts w:ascii="Arial Narrow" w:hAnsi="Arial Narrow" w:cs="Calibri"/>
                <w:color w:val="9C0006"/>
                <w:sz w:val="20"/>
                <w:szCs w:val="20"/>
              </w:rPr>
              <w:t>0.00</w:t>
            </w:r>
            <w:r>
              <w:rPr>
                <w:rFonts w:ascii="Arial Narrow" w:hAnsi="Arial Narrow" w:cs="Calibri"/>
                <w:color w:val="9C0006"/>
                <w:sz w:val="20"/>
                <w:szCs w:val="20"/>
              </w:rPr>
              <w:t>1</w:t>
            </w:r>
          </w:p>
        </w:tc>
      </w:tr>
      <w:tr w:rsidR="000327DF" w:rsidRPr="00583B58" w14:paraId="56C8757F" w14:textId="77777777" w:rsidTr="00077CE6">
        <w:trPr>
          <w:trHeight w:val="330"/>
        </w:trPr>
        <w:tc>
          <w:tcPr>
            <w:tcW w:w="3321" w:type="pct"/>
            <w:tcBorders>
              <w:top w:val="nil"/>
              <w:left w:val="nil"/>
              <w:bottom w:val="nil"/>
              <w:right w:val="nil"/>
            </w:tcBorders>
            <w:shd w:val="clear" w:color="auto" w:fill="auto"/>
            <w:noWrap/>
            <w:vAlign w:val="bottom"/>
            <w:hideMark/>
          </w:tcPr>
          <w:p w14:paraId="6218FD3F"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Infectious disease (vs. general medicine)</w:t>
            </w:r>
          </w:p>
        </w:tc>
        <w:tc>
          <w:tcPr>
            <w:tcW w:w="730" w:type="pct"/>
            <w:tcBorders>
              <w:top w:val="nil"/>
              <w:left w:val="nil"/>
              <w:bottom w:val="nil"/>
              <w:right w:val="nil"/>
            </w:tcBorders>
            <w:shd w:val="clear" w:color="auto" w:fill="auto"/>
            <w:vAlign w:val="bottom"/>
            <w:hideMark/>
          </w:tcPr>
          <w:p w14:paraId="73B83C57"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-0.433</w:t>
            </w:r>
          </w:p>
        </w:tc>
        <w:tc>
          <w:tcPr>
            <w:tcW w:w="536" w:type="pct"/>
            <w:tcBorders>
              <w:top w:val="nil"/>
              <w:left w:val="nil"/>
              <w:bottom w:val="nil"/>
              <w:right w:val="nil"/>
            </w:tcBorders>
            <w:shd w:val="clear" w:color="auto" w:fill="auto"/>
            <w:vAlign w:val="bottom"/>
            <w:hideMark/>
          </w:tcPr>
          <w:p w14:paraId="7DEFC95E"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0.168</w:t>
            </w:r>
          </w:p>
        </w:tc>
        <w:tc>
          <w:tcPr>
            <w:tcW w:w="413" w:type="pct"/>
            <w:tcBorders>
              <w:top w:val="nil"/>
              <w:left w:val="nil"/>
              <w:bottom w:val="nil"/>
              <w:right w:val="nil"/>
            </w:tcBorders>
            <w:shd w:val="clear" w:color="000000" w:fill="FFC7CE"/>
            <w:vAlign w:val="bottom"/>
            <w:hideMark/>
          </w:tcPr>
          <w:p w14:paraId="730D0D69" w14:textId="77777777" w:rsidR="000327DF" w:rsidRDefault="000327DF" w:rsidP="00077CE6">
            <w:pPr>
              <w:spacing w:before="120" w:after="0" w:line="240" w:lineRule="auto"/>
              <w:jc w:val="right"/>
              <w:rPr>
                <w:rFonts w:ascii="Arial Narrow" w:eastAsia="Times New Roman" w:hAnsi="Arial Narrow" w:cs="Calibri"/>
                <w:color w:val="9C0006"/>
                <w:sz w:val="20"/>
                <w:szCs w:val="20"/>
              </w:rPr>
            </w:pPr>
            <w:r w:rsidRPr="005E3016">
              <w:rPr>
                <w:rFonts w:ascii="Arial Narrow" w:hAnsi="Arial Narrow" w:cs="Calibri"/>
                <w:color w:val="9C0006"/>
                <w:sz w:val="20"/>
                <w:szCs w:val="20"/>
              </w:rPr>
              <w:t>0.011</w:t>
            </w:r>
          </w:p>
        </w:tc>
      </w:tr>
      <w:tr w:rsidR="000327DF" w:rsidRPr="00583B58" w14:paraId="5E0951BB" w14:textId="77777777" w:rsidTr="00077CE6">
        <w:trPr>
          <w:trHeight w:val="330"/>
        </w:trPr>
        <w:tc>
          <w:tcPr>
            <w:tcW w:w="3321" w:type="pct"/>
            <w:tcBorders>
              <w:top w:val="nil"/>
              <w:left w:val="nil"/>
              <w:bottom w:val="nil"/>
              <w:right w:val="nil"/>
            </w:tcBorders>
            <w:shd w:val="clear" w:color="auto" w:fill="auto"/>
            <w:noWrap/>
            <w:vAlign w:val="bottom"/>
            <w:hideMark/>
          </w:tcPr>
          <w:p w14:paraId="635068D1"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Internal medicine (vs. general medicine)</w:t>
            </w:r>
          </w:p>
        </w:tc>
        <w:tc>
          <w:tcPr>
            <w:tcW w:w="730" w:type="pct"/>
            <w:tcBorders>
              <w:top w:val="nil"/>
              <w:left w:val="nil"/>
              <w:bottom w:val="nil"/>
              <w:right w:val="nil"/>
            </w:tcBorders>
            <w:shd w:val="clear" w:color="auto" w:fill="auto"/>
            <w:vAlign w:val="bottom"/>
            <w:hideMark/>
          </w:tcPr>
          <w:p w14:paraId="1ED21868"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-0.292</w:t>
            </w:r>
          </w:p>
        </w:tc>
        <w:tc>
          <w:tcPr>
            <w:tcW w:w="536" w:type="pct"/>
            <w:tcBorders>
              <w:top w:val="nil"/>
              <w:left w:val="nil"/>
              <w:bottom w:val="nil"/>
              <w:right w:val="nil"/>
            </w:tcBorders>
            <w:shd w:val="clear" w:color="auto" w:fill="auto"/>
            <w:vAlign w:val="bottom"/>
            <w:hideMark/>
          </w:tcPr>
          <w:p w14:paraId="7CFF18A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0.156</w:t>
            </w:r>
          </w:p>
        </w:tc>
        <w:tc>
          <w:tcPr>
            <w:tcW w:w="413" w:type="pct"/>
            <w:tcBorders>
              <w:top w:val="nil"/>
              <w:left w:val="nil"/>
              <w:bottom w:val="nil"/>
              <w:right w:val="nil"/>
            </w:tcBorders>
            <w:shd w:val="clear" w:color="auto" w:fill="auto"/>
            <w:vAlign w:val="bottom"/>
            <w:hideMark/>
          </w:tcPr>
          <w:p w14:paraId="6160EA4C"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0.062</w:t>
            </w:r>
          </w:p>
        </w:tc>
      </w:tr>
      <w:tr w:rsidR="000327DF" w:rsidRPr="00583B58" w14:paraId="0B25EBA5" w14:textId="77777777" w:rsidTr="00077CE6">
        <w:trPr>
          <w:trHeight w:val="330"/>
        </w:trPr>
        <w:tc>
          <w:tcPr>
            <w:tcW w:w="3321" w:type="pct"/>
            <w:tcBorders>
              <w:top w:val="nil"/>
              <w:left w:val="nil"/>
              <w:bottom w:val="nil"/>
              <w:right w:val="nil"/>
            </w:tcBorders>
            <w:shd w:val="clear" w:color="auto" w:fill="auto"/>
            <w:noWrap/>
            <w:vAlign w:val="bottom"/>
            <w:hideMark/>
          </w:tcPr>
          <w:p w14:paraId="269150E5"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Pulmonology/respiratory medicine (vs. general medicine)</w:t>
            </w:r>
          </w:p>
        </w:tc>
        <w:tc>
          <w:tcPr>
            <w:tcW w:w="730" w:type="pct"/>
            <w:tcBorders>
              <w:top w:val="nil"/>
              <w:left w:val="nil"/>
              <w:bottom w:val="nil"/>
              <w:right w:val="nil"/>
            </w:tcBorders>
            <w:shd w:val="clear" w:color="auto" w:fill="auto"/>
            <w:vAlign w:val="bottom"/>
            <w:hideMark/>
          </w:tcPr>
          <w:p w14:paraId="2FD9327D"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-0.374</w:t>
            </w:r>
          </w:p>
        </w:tc>
        <w:tc>
          <w:tcPr>
            <w:tcW w:w="536" w:type="pct"/>
            <w:tcBorders>
              <w:top w:val="nil"/>
              <w:left w:val="nil"/>
              <w:bottom w:val="nil"/>
              <w:right w:val="nil"/>
            </w:tcBorders>
            <w:shd w:val="clear" w:color="auto" w:fill="auto"/>
            <w:vAlign w:val="bottom"/>
            <w:hideMark/>
          </w:tcPr>
          <w:p w14:paraId="3A72C25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0.148</w:t>
            </w:r>
          </w:p>
        </w:tc>
        <w:tc>
          <w:tcPr>
            <w:tcW w:w="413" w:type="pct"/>
            <w:tcBorders>
              <w:top w:val="nil"/>
              <w:left w:val="nil"/>
              <w:bottom w:val="nil"/>
              <w:right w:val="nil"/>
            </w:tcBorders>
            <w:shd w:val="clear" w:color="000000" w:fill="FFC7CE"/>
            <w:vAlign w:val="bottom"/>
            <w:hideMark/>
          </w:tcPr>
          <w:p w14:paraId="5F95A69E" w14:textId="77777777" w:rsidR="000327DF" w:rsidRDefault="000327DF" w:rsidP="00077CE6">
            <w:pPr>
              <w:spacing w:before="120" w:after="0" w:line="240" w:lineRule="auto"/>
              <w:jc w:val="right"/>
              <w:rPr>
                <w:rFonts w:ascii="Arial Narrow" w:eastAsia="Times New Roman" w:hAnsi="Arial Narrow" w:cs="Calibri"/>
                <w:color w:val="9C0006"/>
                <w:sz w:val="20"/>
                <w:szCs w:val="20"/>
              </w:rPr>
            </w:pPr>
            <w:r w:rsidRPr="005E3016">
              <w:rPr>
                <w:rFonts w:ascii="Arial Narrow" w:hAnsi="Arial Narrow" w:cs="Calibri"/>
                <w:color w:val="9C0006"/>
                <w:sz w:val="20"/>
                <w:szCs w:val="20"/>
              </w:rPr>
              <w:t>0.012</w:t>
            </w:r>
          </w:p>
        </w:tc>
      </w:tr>
      <w:tr w:rsidR="000327DF" w:rsidRPr="00583B58" w14:paraId="73E14F80" w14:textId="77777777" w:rsidTr="00077CE6">
        <w:trPr>
          <w:trHeight w:val="330"/>
        </w:trPr>
        <w:tc>
          <w:tcPr>
            <w:tcW w:w="3321" w:type="pct"/>
            <w:tcBorders>
              <w:top w:val="nil"/>
              <w:left w:val="nil"/>
              <w:bottom w:val="nil"/>
              <w:right w:val="nil"/>
            </w:tcBorders>
            <w:shd w:val="clear" w:color="auto" w:fill="auto"/>
            <w:noWrap/>
            <w:vAlign w:val="bottom"/>
            <w:hideMark/>
          </w:tcPr>
          <w:p w14:paraId="48CDD02A"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Other (vs. general medicine)</w:t>
            </w:r>
          </w:p>
        </w:tc>
        <w:tc>
          <w:tcPr>
            <w:tcW w:w="730" w:type="pct"/>
            <w:tcBorders>
              <w:top w:val="nil"/>
              <w:left w:val="nil"/>
              <w:bottom w:val="nil"/>
              <w:right w:val="nil"/>
            </w:tcBorders>
            <w:shd w:val="clear" w:color="auto" w:fill="auto"/>
            <w:vAlign w:val="bottom"/>
            <w:hideMark/>
          </w:tcPr>
          <w:p w14:paraId="1AB7B014"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0.271</w:t>
            </w:r>
          </w:p>
        </w:tc>
        <w:tc>
          <w:tcPr>
            <w:tcW w:w="536" w:type="pct"/>
            <w:tcBorders>
              <w:top w:val="nil"/>
              <w:left w:val="nil"/>
              <w:bottom w:val="nil"/>
              <w:right w:val="nil"/>
            </w:tcBorders>
            <w:shd w:val="clear" w:color="auto" w:fill="auto"/>
            <w:vAlign w:val="bottom"/>
            <w:hideMark/>
          </w:tcPr>
          <w:p w14:paraId="13EABA6C"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0.444</w:t>
            </w:r>
          </w:p>
        </w:tc>
        <w:tc>
          <w:tcPr>
            <w:tcW w:w="413" w:type="pct"/>
            <w:tcBorders>
              <w:top w:val="nil"/>
              <w:left w:val="nil"/>
              <w:bottom w:val="nil"/>
              <w:right w:val="nil"/>
            </w:tcBorders>
            <w:shd w:val="clear" w:color="auto" w:fill="auto"/>
            <w:vAlign w:val="bottom"/>
            <w:hideMark/>
          </w:tcPr>
          <w:p w14:paraId="2EFE7BD4"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0.542</w:t>
            </w:r>
          </w:p>
        </w:tc>
      </w:tr>
      <w:tr w:rsidR="000327DF" w:rsidRPr="00583B58" w14:paraId="58C75C6F" w14:textId="77777777" w:rsidTr="00077CE6">
        <w:trPr>
          <w:trHeight w:val="330"/>
        </w:trPr>
        <w:tc>
          <w:tcPr>
            <w:tcW w:w="3321" w:type="pct"/>
            <w:tcBorders>
              <w:top w:val="nil"/>
              <w:left w:val="nil"/>
              <w:bottom w:val="nil"/>
              <w:right w:val="nil"/>
            </w:tcBorders>
            <w:shd w:val="clear" w:color="000000" w:fill="F2F2F2"/>
            <w:noWrap/>
            <w:vAlign w:val="bottom"/>
            <w:hideMark/>
          </w:tcPr>
          <w:p w14:paraId="25B3D963"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Single specialty group private (vs. solo private practice)</w:t>
            </w:r>
          </w:p>
        </w:tc>
        <w:tc>
          <w:tcPr>
            <w:tcW w:w="730" w:type="pct"/>
            <w:tcBorders>
              <w:top w:val="nil"/>
              <w:left w:val="nil"/>
              <w:bottom w:val="nil"/>
              <w:right w:val="nil"/>
            </w:tcBorders>
            <w:shd w:val="clear" w:color="auto" w:fill="F2F2F2" w:themeFill="background1" w:themeFillShade="F2"/>
            <w:vAlign w:val="bottom"/>
            <w:hideMark/>
          </w:tcPr>
          <w:p w14:paraId="7FA7766A"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0.090</w:t>
            </w:r>
          </w:p>
        </w:tc>
        <w:tc>
          <w:tcPr>
            <w:tcW w:w="536" w:type="pct"/>
            <w:tcBorders>
              <w:top w:val="nil"/>
              <w:left w:val="nil"/>
              <w:bottom w:val="nil"/>
              <w:right w:val="nil"/>
            </w:tcBorders>
            <w:shd w:val="clear" w:color="auto" w:fill="F2F2F2" w:themeFill="background1" w:themeFillShade="F2"/>
            <w:vAlign w:val="bottom"/>
            <w:hideMark/>
          </w:tcPr>
          <w:p w14:paraId="5676BD56"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0.464</w:t>
            </w:r>
          </w:p>
        </w:tc>
        <w:tc>
          <w:tcPr>
            <w:tcW w:w="413" w:type="pct"/>
            <w:tcBorders>
              <w:top w:val="nil"/>
              <w:left w:val="nil"/>
              <w:bottom w:val="nil"/>
              <w:right w:val="nil"/>
            </w:tcBorders>
            <w:shd w:val="clear" w:color="auto" w:fill="F2F2F2" w:themeFill="background1" w:themeFillShade="F2"/>
            <w:vAlign w:val="bottom"/>
            <w:hideMark/>
          </w:tcPr>
          <w:p w14:paraId="244A7DC3"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0.846</w:t>
            </w:r>
          </w:p>
        </w:tc>
      </w:tr>
      <w:tr w:rsidR="000327DF" w:rsidRPr="00583B58" w14:paraId="5C8E411A" w14:textId="77777777" w:rsidTr="00077CE6">
        <w:trPr>
          <w:trHeight w:val="330"/>
        </w:trPr>
        <w:tc>
          <w:tcPr>
            <w:tcW w:w="3321" w:type="pct"/>
            <w:tcBorders>
              <w:top w:val="nil"/>
              <w:left w:val="nil"/>
              <w:bottom w:val="nil"/>
              <w:right w:val="nil"/>
            </w:tcBorders>
            <w:shd w:val="clear" w:color="000000" w:fill="F2F2F2"/>
            <w:noWrap/>
            <w:vAlign w:val="bottom"/>
            <w:hideMark/>
          </w:tcPr>
          <w:p w14:paraId="7331E9CF" w14:textId="77777777" w:rsidR="000327DF" w:rsidRPr="00583B58" w:rsidRDefault="000327DF" w:rsidP="00077CE6">
            <w:pPr>
              <w:spacing w:after="0" w:line="240" w:lineRule="auto"/>
              <w:rPr>
                <w:rFonts w:ascii="Arial Narrow" w:eastAsia="Times New Roman" w:hAnsi="Arial Narrow" w:cs="Calibri"/>
                <w:color w:val="000000"/>
                <w:sz w:val="20"/>
                <w:szCs w:val="20"/>
              </w:rPr>
            </w:pPr>
            <w:proofErr w:type="spellStart"/>
            <w:r w:rsidRPr="005E3016">
              <w:rPr>
                <w:rFonts w:ascii="Arial Narrow" w:eastAsia="Times New Roman" w:hAnsi="Arial Narrow" w:cs="Calibri"/>
                <w:color w:val="000000"/>
                <w:sz w:val="20"/>
                <w:szCs w:val="20"/>
              </w:rPr>
              <w:t>Multi specialty</w:t>
            </w:r>
            <w:proofErr w:type="spellEnd"/>
            <w:r w:rsidRPr="005E3016">
              <w:rPr>
                <w:rFonts w:ascii="Arial Narrow" w:eastAsia="Times New Roman" w:hAnsi="Arial Narrow" w:cs="Calibri"/>
                <w:color w:val="000000"/>
                <w:sz w:val="20"/>
                <w:szCs w:val="20"/>
              </w:rPr>
              <w:t xml:space="preserve"> group private (vs. solo private practice)</w:t>
            </w:r>
          </w:p>
        </w:tc>
        <w:tc>
          <w:tcPr>
            <w:tcW w:w="730" w:type="pct"/>
            <w:tcBorders>
              <w:top w:val="nil"/>
              <w:left w:val="nil"/>
              <w:bottom w:val="nil"/>
              <w:right w:val="nil"/>
            </w:tcBorders>
            <w:shd w:val="clear" w:color="auto" w:fill="F2F2F2" w:themeFill="background1" w:themeFillShade="F2"/>
            <w:vAlign w:val="bottom"/>
            <w:hideMark/>
          </w:tcPr>
          <w:p w14:paraId="5CE3A215"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0.144</w:t>
            </w:r>
          </w:p>
        </w:tc>
        <w:tc>
          <w:tcPr>
            <w:tcW w:w="536" w:type="pct"/>
            <w:tcBorders>
              <w:top w:val="nil"/>
              <w:left w:val="nil"/>
              <w:bottom w:val="nil"/>
              <w:right w:val="nil"/>
            </w:tcBorders>
            <w:shd w:val="clear" w:color="auto" w:fill="F2F2F2" w:themeFill="background1" w:themeFillShade="F2"/>
            <w:vAlign w:val="bottom"/>
            <w:hideMark/>
          </w:tcPr>
          <w:p w14:paraId="23CDF17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0.474</w:t>
            </w:r>
          </w:p>
        </w:tc>
        <w:tc>
          <w:tcPr>
            <w:tcW w:w="413" w:type="pct"/>
            <w:tcBorders>
              <w:top w:val="nil"/>
              <w:left w:val="nil"/>
              <w:bottom w:val="nil"/>
              <w:right w:val="nil"/>
            </w:tcBorders>
            <w:shd w:val="clear" w:color="auto" w:fill="F2F2F2" w:themeFill="background1" w:themeFillShade="F2"/>
            <w:vAlign w:val="bottom"/>
            <w:hideMark/>
          </w:tcPr>
          <w:p w14:paraId="2EB478E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0.761</w:t>
            </w:r>
          </w:p>
        </w:tc>
      </w:tr>
      <w:tr w:rsidR="000327DF" w:rsidRPr="00583B58" w14:paraId="178733B8" w14:textId="77777777" w:rsidTr="00077CE6">
        <w:trPr>
          <w:trHeight w:val="330"/>
        </w:trPr>
        <w:tc>
          <w:tcPr>
            <w:tcW w:w="3321" w:type="pct"/>
            <w:tcBorders>
              <w:top w:val="nil"/>
              <w:left w:val="nil"/>
              <w:bottom w:val="nil"/>
              <w:right w:val="nil"/>
            </w:tcBorders>
            <w:shd w:val="clear" w:color="000000" w:fill="F2F2F2"/>
            <w:noWrap/>
            <w:vAlign w:val="bottom"/>
            <w:hideMark/>
          </w:tcPr>
          <w:p w14:paraId="58647BD4"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Hospital-based outpatient clinic (vs. solo private practice)</w:t>
            </w:r>
          </w:p>
        </w:tc>
        <w:tc>
          <w:tcPr>
            <w:tcW w:w="730" w:type="pct"/>
            <w:tcBorders>
              <w:top w:val="nil"/>
              <w:left w:val="nil"/>
              <w:bottom w:val="nil"/>
              <w:right w:val="nil"/>
            </w:tcBorders>
            <w:shd w:val="clear" w:color="auto" w:fill="F2F2F2" w:themeFill="background1" w:themeFillShade="F2"/>
            <w:vAlign w:val="bottom"/>
            <w:hideMark/>
          </w:tcPr>
          <w:p w14:paraId="21EF57BF"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-0.043</w:t>
            </w:r>
          </w:p>
        </w:tc>
        <w:tc>
          <w:tcPr>
            <w:tcW w:w="536" w:type="pct"/>
            <w:tcBorders>
              <w:top w:val="nil"/>
              <w:left w:val="nil"/>
              <w:bottom w:val="nil"/>
              <w:right w:val="nil"/>
            </w:tcBorders>
            <w:shd w:val="clear" w:color="auto" w:fill="F2F2F2" w:themeFill="background1" w:themeFillShade="F2"/>
            <w:vAlign w:val="bottom"/>
            <w:hideMark/>
          </w:tcPr>
          <w:p w14:paraId="76060B28"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0.453</w:t>
            </w:r>
          </w:p>
        </w:tc>
        <w:tc>
          <w:tcPr>
            <w:tcW w:w="413" w:type="pct"/>
            <w:tcBorders>
              <w:top w:val="nil"/>
              <w:left w:val="nil"/>
              <w:bottom w:val="nil"/>
              <w:right w:val="nil"/>
            </w:tcBorders>
            <w:shd w:val="clear" w:color="auto" w:fill="F2F2F2" w:themeFill="background1" w:themeFillShade="F2"/>
            <w:vAlign w:val="bottom"/>
            <w:hideMark/>
          </w:tcPr>
          <w:p w14:paraId="60E6F664"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0.924</w:t>
            </w:r>
          </w:p>
        </w:tc>
      </w:tr>
      <w:tr w:rsidR="000327DF" w:rsidRPr="00583B58" w14:paraId="1DAB4361" w14:textId="77777777" w:rsidTr="00077CE6">
        <w:trPr>
          <w:trHeight w:val="330"/>
        </w:trPr>
        <w:tc>
          <w:tcPr>
            <w:tcW w:w="3321" w:type="pct"/>
            <w:tcBorders>
              <w:top w:val="nil"/>
              <w:left w:val="nil"/>
              <w:bottom w:val="nil"/>
              <w:right w:val="nil"/>
            </w:tcBorders>
            <w:shd w:val="clear" w:color="000000" w:fill="F2F2F2"/>
            <w:noWrap/>
            <w:vAlign w:val="bottom"/>
            <w:hideMark/>
          </w:tcPr>
          <w:p w14:paraId="38D7E812"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University-based research/teaching hospital (vs. solo private practice)</w:t>
            </w:r>
          </w:p>
        </w:tc>
        <w:tc>
          <w:tcPr>
            <w:tcW w:w="730" w:type="pct"/>
            <w:tcBorders>
              <w:top w:val="nil"/>
              <w:left w:val="nil"/>
              <w:bottom w:val="nil"/>
              <w:right w:val="nil"/>
            </w:tcBorders>
            <w:shd w:val="clear" w:color="auto" w:fill="F2F2F2" w:themeFill="background1" w:themeFillShade="F2"/>
            <w:vAlign w:val="bottom"/>
            <w:hideMark/>
          </w:tcPr>
          <w:p w14:paraId="4DEEC64B"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0.186</w:t>
            </w:r>
          </w:p>
        </w:tc>
        <w:tc>
          <w:tcPr>
            <w:tcW w:w="536" w:type="pct"/>
            <w:tcBorders>
              <w:top w:val="nil"/>
              <w:left w:val="nil"/>
              <w:bottom w:val="nil"/>
              <w:right w:val="nil"/>
            </w:tcBorders>
            <w:shd w:val="clear" w:color="auto" w:fill="F2F2F2" w:themeFill="background1" w:themeFillShade="F2"/>
            <w:vAlign w:val="bottom"/>
            <w:hideMark/>
          </w:tcPr>
          <w:p w14:paraId="5C39F739"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0.441</w:t>
            </w:r>
          </w:p>
        </w:tc>
        <w:tc>
          <w:tcPr>
            <w:tcW w:w="413" w:type="pct"/>
            <w:tcBorders>
              <w:top w:val="nil"/>
              <w:left w:val="nil"/>
              <w:bottom w:val="nil"/>
              <w:right w:val="nil"/>
            </w:tcBorders>
            <w:shd w:val="clear" w:color="auto" w:fill="F2F2F2" w:themeFill="background1" w:themeFillShade="F2"/>
            <w:vAlign w:val="bottom"/>
            <w:hideMark/>
          </w:tcPr>
          <w:p w14:paraId="36CE2697"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0.674</w:t>
            </w:r>
          </w:p>
        </w:tc>
      </w:tr>
      <w:tr w:rsidR="000327DF" w:rsidRPr="00583B58" w14:paraId="24F06B70" w14:textId="77777777" w:rsidTr="00077CE6">
        <w:trPr>
          <w:trHeight w:val="330"/>
        </w:trPr>
        <w:tc>
          <w:tcPr>
            <w:tcW w:w="3321" w:type="pct"/>
            <w:tcBorders>
              <w:top w:val="nil"/>
              <w:left w:val="nil"/>
              <w:bottom w:val="nil"/>
              <w:right w:val="nil"/>
            </w:tcBorders>
            <w:shd w:val="clear" w:color="000000" w:fill="F2F2F2"/>
            <w:noWrap/>
            <w:vAlign w:val="bottom"/>
            <w:hideMark/>
          </w:tcPr>
          <w:p w14:paraId="4E448F84"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Community-based research/teaching hospital (vs. solo private practice)</w:t>
            </w:r>
          </w:p>
        </w:tc>
        <w:tc>
          <w:tcPr>
            <w:tcW w:w="730" w:type="pct"/>
            <w:tcBorders>
              <w:top w:val="nil"/>
              <w:left w:val="nil"/>
              <w:bottom w:val="nil"/>
              <w:right w:val="nil"/>
            </w:tcBorders>
            <w:shd w:val="clear" w:color="auto" w:fill="F2F2F2" w:themeFill="background1" w:themeFillShade="F2"/>
            <w:vAlign w:val="bottom"/>
            <w:hideMark/>
          </w:tcPr>
          <w:p w14:paraId="3742AC65"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0.206</w:t>
            </w:r>
          </w:p>
        </w:tc>
        <w:tc>
          <w:tcPr>
            <w:tcW w:w="536" w:type="pct"/>
            <w:tcBorders>
              <w:top w:val="nil"/>
              <w:left w:val="nil"/>
              <w:bottom w:val="nil"/>
              <w:right w:val="nil"/>
            </w:tcBorders>
            <w:shd w:val="clear" w:color="auto" w:fill="F2F2F2" w:themeFill="background1" w:themeFillShade="F2"/>
            <w:vAlign w:val="bottom"/>
            <w:hideMark/>
          </w:tcPr>
          <w:p w14:paraId="13DC78AF"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0.455</w:t>
            </w:r>
          </w:p>
        </w:tc>
        <w:tc>
          <w:tcPr>
            <w:tcW w:w="413" w:type="pct"/>
            <w:tcBorders>
              <w:top w:val="nil"/>
              <w:left w:val="nil"/>
              <w:bottom w:val="nil"/>
              <w:right w:val="nil"/>
            </w:tcBorders>
            <w:shd w:val="clear" w:color="auto" w:fill="F2F2F2" w:themeFill="background1" w:themeFillShade="F2"/>
            <w:vAlign w:val="bottom"/>
            <w:hideMark/>
          </w:tcPr>
          <w:p w14:paraId="0C0E8AD3"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0.651</w:t>
            </w:r>
          </w:p>
        </w:tc>
      </w:tr>
      <w:tr w:rsidR="000327DF" w:rsidRPr="00583B58" w14:paraId="26576269" w14:textId="77777777" w:rsidTr="00077CE6">
        <w:trPr>
          <w:trHeight w:val="330"/>
        </w:trPr>
        <w:tc>
          <w:tcPr>
            <w:tcW w:w="3321" w:type="pct"/>
            <w:tcBorders>
              <w:top w:val="nil"/>
              <w:left w:val="nil"/>
              <w:bottom w:val="nil"/>
              <w:right w:val="nil"/>
            </w:tcBorders>
            <w:shd w:val="clear" w:color="auto" w:fill="auto"/>
            <w:noWrap/>
            <w:vAlign w:val="bottom"/>
            <w:hideMark/>
          </w:tcPr>
          <w:p w14:paraId="365676AA"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Germany (vs. Canada)</w:t>
            </w:r>
          </w:p>
        </w:tc>
        <w:tc>
          <w:tcPr>
            <w:tcW w:w="730" w:type="pct"/>
            <w:tcBorders>
              <w:top w:val="nil"/>
              <w:left w:val="nil"/>
              <w:bottom w:val="nil"/>
              <w:right w:val="nil"/>
            </w:tcBorders>
            <w:shd w:val="clear" w:color="auto" w:fill="auto"/>
            <w:vAlign w:val="bottom"/>
            <w:hideMark/>
          </w:tcPr>
          <w:p w14:paraId="2E131C78"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0.088</w:t>
            </w:r>
          </w:p>
        </w:tc>
        <w:tc>
          <w:tcPr>
            <w:tcW w:w="536" w:type="pct"/>
            <w:tcBorders>
              <w:top w:val="nil"/>
              <w:left w:val="nil"/>
              <w:bottom w:val="nil"/>
              <w:right w:val="nil"/>
            </w:tcBorders>
            <w:shd w:val="clear" w:color="auto" w:fill="auto"/>
            <w:vAlign w:val="bottom"/>
            <w:hideMark/>
          </w:tcPr>
          <w:p w14:paraId="2E37F0BA"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0.144</w:t>
            </w:r>
          </w:p>
        </w:tc>
        <w:tc>
          <w:tcPr>
            <w:tcW w:w="413" w:type="pct"/>
            <w:tcBorders>
              <w:top w:val="nil"/>
              <w:left w:val="nil"/>
              <w:bottom w:val="nil"/>
              <w:right w:val="nil"/>
            </w:tcBorders>
            <w:shd w:val="clear" w:color="auto" w:fill="auto"/>
            <w:vAlign w:val="bottom"/>
            <w:hideMark/>
          </w:tcPr>
          <w:p w14:paraId="331ACDD6"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0.540</w:t>
            </w:r>
          </w:p>
        </w:tc>
      </w:tr>
      <w:tr w:rsidR="000327DF" w:rsidRPr="00583B58" w14:paraId="0A8F769E" w14:textId="77777777" w:rsidTr="0059480F">
        <w:trPr>
          <w:trHeight w:val="330"/>
        </w:trPr>
        <w:tc>
          <w:tcPr>
            <w:tcW w:w="3321" w:type="pct"/>
            <w:tcBorders>
              <w:top w:val="nil"/>
              <w:left w:val="nil"/>
              <w:bottom w:val="nil"/>
              <w:right w:val="nil"/>
            </w:tcBorders>
            <w:shd w:val="clear" w:color="auto" w:fill="auto"/>
            <w:noWrap/>
            <w:vAlign w:val="bottom"/>
            <w:hideMark/>
          </w:tcPr>
          <w:p w14:paraId="01671D8E"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France (vs. Canada)</w:t>
            </w:r>
          </w:p>
        </w:tc>
        <w:tc>
          <w:tcPr>
            <w:tcW w:w="730" w:type="pct"/>
            <w:tcBorders>
              <w:top w:val="nil"/>
              <w:left w:val="nil"/>
              <w:bottom w:val="nil"/>
              <w:right w:val="nil"/>
            </w:tcBorders>
            <w:shd w:val="clear" w:color="auto" w:fill="auto"/>
            <w:vAlign w:val="bottom"/>
            <w:hideMark/>
          </w:tcPr>
          <w:p w14:paraId="6BE58808"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0.309</w:t>
            </w:r>
          </w:p>
        </w:tc>
        <w:tc>
          <w:tcPr>
            <w:tcW w:w="536" w:type="pct"/>
            <w:tcBorders>
              <w:top w:val="nil"/>
              <w:left w:val="nil"/>
              <w:bottom w:val="nil"/>
              <w:right w:val="nil"/>
            </w:tcBorders>
            <w:shd w:val="clear" w:color="auto" w:fill="auto"/>
            <w:vAlign w:val="bottom"/>
            <w:hideMark/>
          </w:tcPr>
          <w:p w14:paraId="5FA084A1"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0.160</w:t>
            </w:r>
          </w:p>
        </w:tc>
        <w:tc>
          <w:tcPr>
            <w:tcW w:w="413" w:type="pct"/>
            <w:tcBorders>
              <w:top w:val="nil"/>
              <w:left w:val="nil"/>
              <w:bottom w:val="nil"/>
              <w:right w:val="nil"/>
            </w:tcBorders>
            <w:shd w:val="clear" w:color="auto" w:fill="auto"/>
            <w:vAlign w:val="bottom"/>
            <w:hideMark/>
          </w:tcPr>
          <w:p w14:paraId="2C0D0542" w14:textId="77777777" w:rsidR="000327DF" w:rsidRPr="0059480F" w:rsidRDefault="000327DF" w:rsidP="00077CE6">
            <w:pPr>
              <w:spacing w:before="120" w:after="0" w:line="240" w:lineRule="auto"/>
              <w:jc w:val="right"/>
              <w:rPr>
                <w:rFonts w:ascii="Arial Narrow" w:eastAsia="Times New Roman" w:hAnsi="Arial Narrow" w:cs="Calibri"/>
                <w:color w:val="000000"/>
                <w:sz w:val="20"/>
                <w:szCs w:val="20"/>
              </w:rPr>
            </w:pPr>
            <w:r w:rsidRPr="0059480F">
              <w:rPr>
                <w:rFonts w:ascii="Arial Narrow" w:hAnsi="Arial Narrow" w:cs="Calibri"/>
                <w:color w:val="000000"/>
                <w:sz w:val="20"/>
                <w:szCs w:val="20"/>
              </w:rPr>
              <w:t>0.055</w:t>
            </w:r>
          </w:p>
        </w:tc>
      </w:tr>
      <w:tr w:rsidR="000327DF" w:rsidRPr="00583B58" w14:paraId="5B2C3DB6" w14:textId="77777777" w:rsidTr="00077CE6">
        <w:trPr>
          <w:trHeight w:val="330"/>
        </w:trPr>
        <w:tc>
          <w:tcPr>
            <w:tcW w:w="3321" w:type="pct"/>
            <w:tcBorders>
              <w:top w:val="nil"/>
              <w:left w:val="nil"/>
              <w:bottom w:val="nil"/>
              <w:right w:val="nil"/>
            </w:tcBorders>
            <w:shd w:val="clear" w:color="auto" w:fill="auto"/>
            <w:noWrap/>
            <w:vAlign w:val="bottom"/>
            <w:hideMark/>
          </w:tcPr>
          <w:p w14:paraId="3CC6435F"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UK (vs. Canada)</w:t>
            </w:r>
          </w:p>
        </w:tc>
        <w:tc>
          <w:tcPr>
            <w:tcW w:w="730" w:type="pct"/>
            <w:tcBorders>
              <w:top w:val="nil"/>
              <w:left w:val="nil"/>
              <w:bottom w:val="nil"/>
              <w:right w:val="nil"/>
            </w:tcBorders>
            <w:shd w:val="clear" w:color="auto" w:fill="auto"/>
            <w:vAlign w:val="bottom"/>
            <w:hideMark/>
          </w:tcPr>
          <w:p w14:paraId="1D13614A"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0.118</w:t>
            </w:r>
          </w:p>
        </w:tc>
        <w:tc>
          <w:tcPr>
            <w:tcW w:w="536" w:type="pct"/>
            <w:tcBorders>
              <w:top w:val="nil"/>
              <w:left w:val="nil"/>
              <w:bottom w:val="nil"/>
              <w:right w:val="nil"/>
            </w:tcBorders>
            <w:shd w:val="clear" w:color="auto" w:fill="auto"/>
            <w:vAlign w:val="bottom"/>
            <w:hideMark/>
          </w:tcPr>
          <w:p w14:paraId="0B881C31"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0.124</w:t>
            </w:r>
          </w:p>
        </w:tc>
        <w:tc>
          <w:tcPr>
            <w:tcW w:w="413" w:type="pct"/>
            <w:tcBorders>
              <w:top w:val="nil"/>
              <w:left w:val="nil"/>
              <w:bottom w:val="nil"/>
              <w:right w:val="nil"/>
            </w:tcBorders>
            <w:shd w:val="clear" w:color="auto" w:fill="auto"/>
            <w:vAlign w:val="bottom"/>
            <w:hideMark/>
          </w:tcPr>
          <w:p w14:paraId="7FAE4223"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0.343</w:t>
            </w:r>
          </w:p>
        </w:tc>
      </w:tr>
      <w:tr w:rsidR="000327DF" w:rsidRPr="00583B58" w14:paraId="3A04CBF2" w14:textId="77777777" w:rsidTr="00077CE6">
        <w:trPr>
          <w:trHeight w:val="330"/>
        </w:trPr>
        <w:tc>
          <w:tcPr>
            <w:tcW w:w="3321" w:type="pct"/>
            <w:tcBorders>
              <w:top w:val="nil"/>
              <w:left w:val="nil"/>
              <w:bottom w:val="nil"/>
              <w:right w:val="nil"/>
            </w:tcBorders>
            <w:shd w:val="clear" w:color="000000" w:fill="F2F2F2"/>
            <w:noWrap/>
            <w:vAlign w:val="bottom"/>
            <w:hideMark/>
          </w:tcPr>
          <w:p w14:paraId="4B4858D7"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Age at diagnosis</w:t>
            </w:r>
            <w:r>
              <w:rPr>
                <w:rFonts w:ascii="Arial Narrow" w:eastAsia="Times New Roman" w:hAnsi="Arial Narrow" w:cs="Calibri"/>
                <w:color w:val="000000"/>
                <w:sz w:val="20"/>
                <w:szCs w:val="20"/>
              </w:rPr>
              <w:t xml:space="preserve"> (per year increase)</w:t>
            </w:r>
          </w:p>
        </w:tc>
        <w:tc>
          <w:tcPr>
            <w:tcW w:w="730" w:type="pct"/>
            <w:tcBorders>
              <w:top w:val="nil"/>
              <w:left w:val="nil"/>
              <w:bottom w:val="nil"/>
              <w:right w:val="nil"/>
            </w:tcBorders>
            <w:shd w:val="clear" w:color="auto" w:fill="F2F2F2" w:themeFill="background1" w:themeFillShade="F2"/>
            <w:vAlign w:val="bottom"/>
            <w:hideMark/>
          </w:tcPr>
          <w:p w14:paraId="31851543"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0.000</w:t>
            </w:r>
          </w:p>
        </w:tc>
        <w:tc>
          <w:tcPr>
            <w:tcW w:w="536" w:type="pct"/>
            <w:tcBorders>
              <w:top w:val="nil"/>
              <w:left w:val="nil"/>
              <w:bottom w:val="nil"/>
              <w:right w:val="nil"/>
            </w:tcBorders>
            <w:shd w:val="clear" w:color="auto" w:fill="F2F2F2" w:themeFill="background1" w:themeFillShade="F2"/>
            <w:vAlign w:val="bottom"/>
            <w:hideMark/>
          </w:tcPr>
          <w:p w14:paraId="598D670E"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0.003</w:t>
            </w:r>
          </w:p>
        </w:tc>
        <w:tc>
          <w:tcPr>
            <w:tcW w:w="413" w:type="pct"/>
            <w:tcBorders>
              <w:top w:val="nil"/>
              <w:left w:val="nil"/>
              <w:bottom w:val="nil"/>
              <w:right w:val="nil"/>
            </w:tcBorders>
            <w:shd w:val="clear" w:color="auto" w:fill="F2F2F2" w:themeFill="background1" w:themeFillShade="F2"/>
            <w:vAlign w:val="bottom"/>
            <w:hideMark/>
          </w:tcPr>
          <w:p w14:paraId="20B77B60"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0.915</w:t>
            </w:r>
          </w:p>
        </w:tc>
      </w:tr>
      <w:tr w:rsidR="000327DF" w:rsidRPr="00583B58" w14:paraId="7507C117" w14:textId="77777777" w:rsidTr="00077CE6">
        <w:trPr>
          <w:trHeight w:val="330"/>
        </w:trPr>
        <w:tc>
          <w:tcPr>
            <w:tcW w:w="3321" w:type="pct"/>
            <w:tcBorders>
              <w:top w:val="nil"/>
              <w:left w:val="nil"/>
              <w:right w:val="nil"/>
            </w:tcBorders>
            <w:shd w:val="clear" w:color="auto" w:fill="auto"/>
            <w:noWrap/>
            <w:vAlign w:val="bottom"/>
            <w:hideMark/>
          </w:tcPr>
          <w:p w14:paraId="6510D3FC"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Weight</w:t>
            </w:r>
            <w:r>
              <w:rPr>
                <w:rFonts w:ascii="Arial Narrow" w:eastAsia="Times New Roman" w:hAnsi="Arial Narrow" w:cs="Calibri"/>
                <w:color w:val="000000"/>
                <w:sz w:val="20"/>
                <w:szCs w:val="20"/>
              </w:rPr>
              <w:t xml:space="preserve"> (per kg increase)</w:t>
            </w:r>
          </w:p>
        </w:tc>
        <w:tc>
          <w:tcPr>
            <w:tcW w:w="730" w:type="pct"/>
            <w:tcBorders>
              <w:top w:val="nil"/>
              <w:left w:val="nil"/>
              <w:right w:val="nil"/>
            </w:tcBorders>
            <w:shd w:val="clear" w:color="auto" w:fill="auto"/>
            <w:vAlign w:val="bottom"/>
            <w:hideMark/>
          </w:tcPr>
          <w:p w14:paraId="51A158EA"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0.010</w:t>
            </w:r>
          </w:p>
        </w:tc>
        <w:tc>
          <w:tcPr>
            <w:tcW w:w="536" w:type="pct"/>
            <w:tcBorders>
              <w:top w:val="nil"/>
              <w:left w:val="nil"/>
              <w:right w:val="nil"/>
            </w:tcBorders>
            <w:shd w:val="clear" w:color="auto" w:fill="auto"/>
            <w:vAlign w:val="bottom"/>
            <w:hideMark/>
          </w:tcPr>
          <w:p w14:paraId="35DCF834"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0.004</w:t>
            </w:r>
          </w:p>
        </w:tc>
        <w:tc>
          <w:tcPr>
            <w:tcW w:w="413" w:type="pct"/>
            <w:tcBorders>
              <w:top w:val="nil"/>
              <w:left w:val="nil"/>
              <w:right w:val="nil"/>
            </w:tcBorders>
            <w:shd w:val="clear" w:color="000000" w:fill="FFC7CE"/>
            <w:vAlign w:val="bottom"/>
            <w:hideMark/>
          </w:tcPr>
          <w:p w14:paraId="792AABA5" w14:textId="77777777" w:rsidR="000327DF" w:rsidRDefault="000327DF" w:rsidP="00077CE6">
            <w:pPr>
              <w:spacing w:before="120" w:after="0" w:line="240" w:lineRule="auto"/>
              <w:jc w:val="right"/>
              <w:rPr>
                <w:rFonts w:ascii="Arial Narrow" w:eastAsia="Times New Roman" w:hAnsi="Arial Narrow" w:cs="Calibri"/>
                <w:color w:val="9C0006"/>
                <w:sz w:val="20"/>
                <w:szCs w:val="20"/>
              </w:rPr>
            </w:pPr>
            <w:r w:rsidRPr="005E3016">
              <w:rPr>
                <w:rFonts w:ascii="Arial Narrow" w:hAnsi="Arial Narrow" w:cs="Calibri"/>
                <w:color w:val="9C0006"/>
                <w:sz w:val="20"/>
                <w:szCs w:val="20"/>
              </w:rPr>
              <w:t>0.004</w:t>
            </w:r>
          </w:p>
        </w:tc>
      </w:tr>
      <w:tr w:rsidR="000327DF" w:rsidRPr="00583B58" w14:paraId="3D9701F9" w14:textId="77777777" w:rsidTr="00077CE6">
        <w:trPr>
          <w:trHeight w:val="330"/>
        </w:trPr>
        <w:tc>
          <w:tcPr>
            <w:tcW w:w="3321" w:type="pct"/>
            <w:tcBorders>
              <w:top w:val="nil"/>
              <w:left w:val="nil"/>
              <w:bottom w:val="single" w:sz="4" w:space="0" w:color="auto"/>
              <w:right w:val="nil"/>
            </w:tcBorders>
            <w:shd w:val="clear" w:color="000000" w:fill="F2F2F2"/>
            <w:noWrap/>
            <w:vAlign w:val="bottom"/>
            <w:hideMark/>
          </w:tcPr>
          <w:p w14:paraId="45877BC7" w14:textId="77777777" w:rsidR="000327DF" w:rsidRPr="00583B58"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Date of symptom onset</w:t>
            </w:r>
            <w:r>
              <w:rPr>
                <w:rFonts w:ascii="Arial Narrow" w:eastAsia="Times New Roman" w:hAnsi="Arial Narrow" w:cs="Calibri"/>
                <w:color w:val="000000"/>
                <w:sz w:val="20"/>
                <w:szCs w:val="20"/>
              </w:rPr>
              <w:t xml:space="preserve"> (per day increase)</w:t>
            </w:r>
          </w:p>
        </w:tc>
        <w:tc>
          <w:tcPr>
            <w:tcW w:w="730" w:type="pct"/>
            <w:tcBorders>
              <w:top w:val="nil"/>
              <w:left w:val="nil"/>
              <w:bottom w:val="single" w:sz="4" w:space="0" w:color="auto"/>
              <w:right w:val="nil"/>
            </w:tcBorders>
            <w:shd w:val="clear" w:color="auto" w:fill="F2F2F2" w:themeFill="background1" w:themeFillShade="F2"/>
            <w:vAlign w:val="bottom"/>
            <w:hideMark/>
          </w:tcPr>
          <w:p w14:paraId="79A454D6"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0.001</w:t>
            </w:r>
          </w:p>
        </w:tc>
        <w:tc>
          <w:tcPr>
            <w:tcW w:w="536" w:type="pct"/>
            <w:tcBorders>
              <w:top w:val="nil"/>
              <w:left w:val="nil"/>
              <w:bottom w:val="single" w:sz="4" w:space="0" w:color="auto"/>
              <w:right w:val="nil"/>
            </w:tcBorders>
            <w:shd w:val="clear" w:color="auto" w:fill="F2F2F2" w:themeFill="background1" w:themeFillShade="F2"/>
            <w:vAlign w:val="bottom"/>
            <w:hideMark/>
          </w:tcPr>
          <w:p w14:paraId="305783E3"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hAnsi="Arial Narrow" w:cs="Calibri"/>
                <w:color w:val="000000"/>
                <w:sz w:val="20"/>
                <w:szCs w:val="20"/>
              </w:rPr>
              <w:t>0.000</w:t>
            </w:r>
          </w:p>
        </w:tc>
        <w:tc>
          <w:tcPr>
            <w:tcW w:w="413" w:type="pct"/>
            <w:tcBorders>
              <w:top w:val="nil"/>
              <w:left w:val="nil"/>
              <w:bottom w:val="single" w:sz="4" w:space="0" w:color="auto"/>
              <w:right w:val="nil"/>
            </w:tcBorders>
            <w:shd w:val="clear" w:color="000000" w:fill="FFC7CE"/>
            <w:vAlign w:val="bottom"/>
            <w:hideMark/>
          </w:tcPr>
          <w:p w14:paraId="286B75E8" w14:textId="77777777" w:rsidR="000327DF" w:rsidRDefault="000327DF" w:rsidP="00077CE6">
            <w:pPr>
              <w:spacing w:before="120" w:after="0" w:line="240" w:lineRule="auto"/>
              <w:jc w:val="right"/>
              <w:rPr>
                <w:rFonts w:ascii="Arial Narrow" w:eastAsia="Times New Roman" w:hAnsi="Arial Narrow" w:cs="Calibri"/>
                <w:color w:val="9C0006"/>
                <w:sz w:val="20"/>
                <w:szCs w:val="20"/>
              </w:rPr>
            </w:pPr>
            <w:r>
              <w:rPr>
                <w:rFonts w:ascii="Arial Narrow" w:hAnsi="Arial Narrow" w:cs="Calibri"/>
                <w:color w:val="9C0006"/>
                <w:sz w:val="20"/>
                <w:szCs w:val="20"/>
              </w:rPr>
              <w:t>&lt;</w:t>
            </w:r>
            <w:r w:rsidRPr="00583B58">
              <w:rPr>
                <w:rFonts w:ascii="Arial Narrow" w:hAnsi="Arial Narrow" w:cs="Calibri"/>
                <w:color w:val="9C0006"/>
                <w:sz w:val="20"/>
                <w:szCs w:val="20"/>
              </w:rPr>
              <w:t>0.00</w:t>
            </w:r>
            <w:r>
              <w:rPr>
                <w:rFonts w:ascii="Arial Narrow" w:hAnsi="Arial Narrow" w:cs="Calibri"/>
                <w:color w:val="9C0006"/>
                <w:sz w:val="20"/>
                <w:szCs w:val="20"/>
              </w:rPr>
              <w:t>1</w:t>
            </w:r>
          </w:p>
        </w:tc>
      </w:tr>
    </w:tbl>
    <w:p w14:paraId="65338C3D" w14:textId="77777777" w:rsidR="000327DF" w:rsidRPr="00F3179C" w:rsidRDefault="000327DF" w:rsidP="000327DF">
      <w:pPr>
        <w:pStyle w:val="BodyTextIndent"/>
        <w:ind w:left="0"/>
        <w:rPr>
          <w:rFonts w:ascii="Arial Narrow" w:hAnsi="Arial Narrow"/>
          <w:i/>
          <w:sz w:val="18"/>
          <w:szCs w:val="18"/>
        </w:rPr>
      </w:pPr>
      <w:r>
        <w:rPr>
          <w:rFonts w:ascii="Arial Narrow" w:hAnsi="Arial Narrow"/>
          <w:i/>
          <w:iCs/>
          <w:sz w:val="18"/>
          <w:szCs w:val="18"/>
        </w:rPr>
        <w:t>Abbreviations: HRCT = high resolution computed tomography; NTM = non-tuberculosis mycobacterium; SE = standard error; UK</w:t>
      </w:r>
      <w:r w:rsidRPr="00F3179C">
        <w:rPr>
          <w:rFonts w:ascii="Arial Narrow" w:hAnsi="Arial Narrow"/>
          <w:i/>
          <w:iCs/>
          <w:sz w:val="18"/>
          <w:szCs w:val="18"/>
        </w:rPr>
        <w:t xml:space="preserve"> = </w:t>
      </w:r>
      <w:r>
        <w:rPr>
          <w:rFonts w:ascii="Arial Narrow" w:hAnsi="Arial Narrow"/>
          <w:i/>
          <w:iCs/>
          <w:sz w:val="18"/>
          <w:szCs w:val="18"/>
        </w:rPr>
        <w:t>United Kingdom; vs. = versus</w:t>
      </w:r>
    </w:p>
    <w:p w14:paraId="0597F7C0" w14:textId="4F72DB81" w:rsidR="000327DF" w:rsidRDefault="000327DF" w:rsidP="000327DF">
      <w:pPr>
        <w:pStyle w:val="Caption"/>
      </w:pPr>
      <w:r>
        <w:lastRenderedPageBreak/>
        <w:t xml:space="preserve">Table </w:t>
      </w:r>
      <w:r w:rsidR="00772894">
        <w:t>2</w:t>
      </w:r>
      <w:r>
        <w:t xml:space="preserve">: Multiple linear regression of select characteristics combined with date of symptom onset, against total annual NTMLD related cost (expressed in </w:t>
      </w:r>
      <w:r w:rsidRPr="009707F8">
        <w:rPr>
          <w:lang w:val="en-US"/>
        </w:rPr>
        <w:t>£</w:t>
      </w:r>
      <w:r>
        <w:t>) transformed on log10 scale.</w:t>
      </w:r>
    </w:p>
    <w:tbl>
      <w:tblPr>
        <w:tblW w:w="5000" w:type="pct"/>
        <w:tblLayout w:type="fixed"/>
        <w:tblLook w:val="04A0" w:firstRow="1" w:lastRow="0" w:firstColumn="1" w:lastColumn="0" w:noHBand="0" w:noVBand="1"/>
      </w:tblPr>
      <w:tblGrid>
        <w:gridCol w:w="6229"/>
        <w:gridCol w:w="1079"/>
        <w:gridCol w:w="810"/>
        <w:gridCol w:w="1124"/>
      </w:tblGrid>
      <w:tr w:rsidR="000327DF" w:rsidRPr="00751E33" w14:paraId="01A168BD" w14:textId="77777777" w:rsidTr="00077CE6">
        <w:trPr>
          <w:trHeight w:val="330"/>
        </w:trPr>
        <w:tc>
          <w:tcPr>
            <w:tcW w:w="3369" w:type="pct"/>
            <w:tcBorders>
              <w:top w:val="single" w:sz="4" w:space="0" w:color="auto"/>
              <w:left w:val="nil"/>
              <w:bottom w:val="single" w:sz="4" w:space="0" w:color="auto"/>
              <w:right w:val="nil"/>
            </w:tcBorders>
            <w:shd w:val="clear" w:color="auto" w:fill="auto"/>
            <w:noWrap/>
            <w:vAlign w:val="bottom"/>
            <w:hideMark/>
          </w:tcPr>
          <w:p w14:paraId="32083055" w14:textId="77777777" w:rsidR="000327DF" w:rsidRPr="00751E33" w:rsidRDefault="000327DF" w:rsidP="00077CE6">
            <w:pPr>
              <w:spacing w:after="0" w:line="240" w:lineRule="auto"/>
              <w:rPr>
                <w:rFonts w:ascii="Arial Narrow" w:eastAsia="Times New Roman" w:hAnsi="Arial Narrow" w:cs="Calibri"/>
                <w:b/>
                <w:bCs/>
                <w:color w:val="000000"/>
                <w:sz w:val="20"/>
                <w:szCs w:val="20"/>
              </w:rPr>
            </w:pPr>
            <w:r w:rsidRPr="00751E33">
              <w:rPr>
                <w:rFonts w:ascii="Arial Narrow" w:eastAsia="Times New Roman" w:hAnsi="Arial Narrow" w:cs="Calibri"/>
                <w:b/>
                <w:bCs/>
                <w:color w:val="000000"/>
                <w:sz w:val="20"/>
                <w:szCs w:val="20"/>
              </w:rPr>
              <w:t>Covariate</w:t>
            </w:r>
          </w:p>
        </w:tc>
        <w:tc>
          <w:tcPr>
            <w:tcW w:w="584" w:type="pct"/>
            <w:tcBorders>
              <w:top w:val="single" w:sz="4" w:space="0" w:color="auto"/>
              <w:left w:val="nil"/>
              <w:bottom w:val="single" w:sz="4" w:space="0" w:color="auto"/>
              <w:right w:val="nil"/>
            </w:tcBorders>
            <w:shd w:val="clear" w:color="auto" w:fill="auto"/>
            <w:vAlign w:val="center"/>
            <w:hideMark/>
          </w:tcPr>
          <w:p w14:paraId="7F32ED77" w14:textId="77777777" w:rsidR="000327DF" w:rsidRPr="00751E33" w:rsidRDefault="000327DF" w:rsidP="00077CE6">
            <w:pPr>
              <w:spacing w:after="0" w:line="240" w:lineRule="auto"/>
              <w:jc w:val="center"/>
              <w:rPr>
                <w:rFonts w:ascii="Arial Narrow" w:eastAsia="Times New Roman" w:hAnsi="Arial Narrow" w:cs="Calibri"/>
                <w:b/>
                <w:bCs/>
                <w:color w:val="000000"/>
                <w:sz w:val="20"/>
                <w:szCs w:val="20"/>
              </w:rPr>
            </w:pPr>
            <w:r w:rsidRPr="00751E33">
              <w:rPr>
                <w:rFonts w:ascii="Arial Narrow" w:eastAsia="Times New Roman" w:hAnsi="Arial Narrow" w:cs="Calibri"/>
                <w:b/>
                <w:bCs/>
                <w:color w:val="000000"/>
                <w:sz w:val="20"/>
                <w:szCs w:val="20"/>
              </w:rPr>
              <w:t>Coefficient</w:t>
            </w:r>
          </w:p>
        </w:tc>
        <w:tc>
          <w:tcPr>
            <w:tcW w:w="438" w:type="pct"/>
            <w:tcBorders>
              <w:top w:val="single" w:sz="4" w:space="0" w:color="auto"/>
              <w:left w:val="nil"/>
              <w:bottom w:val="single" w:sz="4" w:space="0" w:color="auto"/>
              <w:right w:val="nil"/>
            </w:tcBorders>
            <w:shd w:val="clear" w:color="auto" w:fill="auto"/>
            <w:vAlign w:val="center"/>
            <w:hideMark/>
          </w:tcPr>
          <w:p w14:paraId="5FCCDE19" w14:textId="77777777" w:rsidR="000327DF" w:rsidRPr="00751E33" w:rsidRDefault="000327DF" w:rsidP="00077CE6">
            <w:pPr>
              <w:spacing w:after="0" w:line="240" w:lineRule="auto"/>
              <w:jc w:val="center"/>
              <w:rPr>
                <w:rFonts w:ascii="Arial Narrow" w:eastAsia="Times New Roman" w:hAnsi="Arial Narrow" w:cs="Calibri"/>
                <w:b/>
                <w:bCs/>
                <w:color w:val="000000"/>
                <w:sz w:val="20"/>
                <w:szCs w:val="20"/>
              </w:rPr>
            </w:pPr>
            <w:r w:rsidRPr="00751E33">
              <w:rPr>
                <w:rFonts w:ascii="Arial Narrow" w:eastAsia="Times New Roman" w:hAnsi="Arial Narrow" w:cs="Calibri"/>
                <w:b/>
                <w:bCs/>
                <w:color w:val="000000"/>
                <w:sz w:val="20"/>
                <w:szCs w:val="20"/>
              </w:rPr>
              <w:t>SE</w:t>
            </w:r>
          </w:p>
        </w:tc>
        <w:tc>
          <w:tcPr>
            <w:tcW w:w="608" w:type="pct"/>
            <w:tcBorders>
              <w:top w:val="single" w:sz="4" w:space="0" w:color="auto"/>
              <w:left w:val="nil"/>
              <w:bottom w:val="single" w:sz="4" w:space="0" w:color="auto"/>
              <w:right w:val="nil"/>
            </w:tcBorders>
            <w:shd w:val="clear" w:color="auto" w:fill="auto"/>
            <w:vAlign w:val="center"/>
            <w:hideMark/>
          </w:tcPr>
          <w:p w14:paraId="51714643" w14:textId="77777777" w:rsidR="000327DF" w:rsidRPr="00751E33" w:rsidRDefault="000327DF" w:rsidP="00077CE6">
            <w:pPr>
              <w:spacing w:after="0" w:line="240" w:lineRule="auto"/>
              <w:jc w:val="center"/>
              <w:rPr>
                <w:rFonts w:ascii="Arial Narrow" w:eastAsia="Times New Roman" w:hAnsi="Arial Narrow" w:cs="Calibri"/>
                <w:b/>
                <w:bCs/>
                <w:color w:val="000000"/>
                <w:sz w:val="20"/>
                <w:szCs w:val="20"/>
              </w:rPr>
            </w:pPr>
            <w:r w:rsidRPr="00751E33">
              <w:rPr>
                <w:rFonts w:ascii="Arial Narrow" w:eastAsia="Times New Roman" w:hAnsi="Arial Narrow" w:cs="Calibri"/>
                <w:b/>
                <w:bCs/>
                <w:color w:val="000000"/>
                <w:sz w:val="20"/>
                <w:szCs w:val="20"/>
              </w:rPr>
              <w:t>P-value</w:t>
            </w:r>
          </w:p>
        </w:tc>
      </w:tr>
      <w:tr w:rsidR="000327DF" w:rsidRPr="00751E33" w14:paraId="20C7FAA6" w14:textId="77777777" w:rsidTr="00077CE6">
        <w:trPr>
          <w:trHeight w:val="330"/>
        </w:trPr>
        <w:tc>
          <w:tcPr>
            <w:tcW w:w="3369" w:type="pct"/>
            <w:tcBorders>
              <w:top w:val="nil"/>
              <w:left w:val="nil"/>
              <w:bottom w:val="nil"/>
              <w:right w:val="nil"/>
            </w:tcBorders>
            <w:shd w:val="clear" w:color="auto" w:fill="auto"/>
            <w:noWrap/>
            <w:vAlign w:val="bottom"/>
            <w:hideMark/>
          </w:tcPr>
          <w:p w14:paraId="283BB975"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Date of symptom onset</w:t>
            </w:r>
            <w:r>
              <w:rPr>
                <w:rFonts w:ascii="Arial Narrow" w:eastAsia="Times New Roman" w:hAnsi="Arial Narrow" w:cs="Calibri"/>
                <w:color w:val="000000"/>
                <w:sz w:val="20"/>
                <w:szCs w:val="20"/>
              </w:rPr>
              <w:t xml:space="preserve"> (per day increase)</w:t>
            </w:r>
          </w:p>
        </w:tc>
        <w:tc>
          <w:tcPr>
            <w:tcW w:w="584" w:type="pct"/>
            <w:tcBorders>
              <w:top w:val="nil"/>
              <w:left w:val="nil"/>
              <w:bottom w:val="nil"/>
              <w:right w:val="nil"/>
            </w:tcBorders>
            <w:shd w:val="clear" w:color="auto" w:fill="auto"/>
            <w:vAlign w:val="bottom"/>
            <w:hideMark/>
          </w:tcPr>
          <w:p w14:paraId="16468A16" w14:textId="77777777" w:rsidR="000327DF" w:rsidRDefault="000327DF" w:rsidP="00077CE6">
            <w:pPr>
              <w:keepNext/>
              <w:keepLines/>
              <w:spacing w:before="200" w:after="0" w:line="240" w:lineRule="auto"/>
              <w:jc w:val="right"/>
              <w:outlineLvl w:val="1"/>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0.001</w:t>
            </w:r>
          </w:p>
        </w:tc>
        <w:tc>
          <w:tcPr>
            <w:tcW w:w="438" w:type="pct"/>
            <w:tcBorders>
              <w:top w:val="nil"/>
              <w:left w:val="nil"/>
              <w:bottom w:val="nil"/>
              <w:right w:val="nil"/>
            </w:tcBorders>
            <w:shd w:val="clear" w:color="auto" w:fill="auto"/>
            <w:vAlign w:val="bottom"/>
            <w:hideMark/>
          </w:tcPr>
          <w:p w14:paraId="2B2C1F09" w14:textId="77777777" w:rsidR="000327DF" w:rsidRDefault="000327DF" w:rsidP="00077CE6">
            <w:pPr>
              <w:keepNext/>
              <w:keepLines/>
              <w:spacing w:before="200" w:after="0" w:line="240" w:lineRule="auto"/>
              <w:jc w:val="right"/>
              <w:outlineLvl w:val="1"/>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0.000</w:t>
            </w:r>
          </w:p>
        </w:tc>
        <w:tc>
          <w:tcPr>
            <w:tcW w:w="608" w:type="pct"/>
            <w:tcBorders>
              <w:top w:val="nil"/>
              <w:left w:val="nil"/>
              <w:bottom w:val="nil"/>
              <w:right w:val="nil"/>
            </w:tcBorders>
            <w:shd w:val="clear" w:color="000000" w:fill="FFC7CE"/>
            <w:vAlign w:val="bottom"/>
            <w:hideMark/>
          </w:tcPr>
          <w:p w14:paraId="56AF5E78" w14:textId="77777777" w:rsidR="000327DF" w:rsidRDefault="000327DF" w:rsidP="00077CE6">
            <w:pPr>
              <w:keepNext/>
              <w:keepLines/>
              <w:spacing w:before="200" w:after="0" w:line="240" w:lineRule="auto"/>
              <w:jc w:val="right"/>
              <w:outlineLvl w:val="1"/>
              <w:rPr>
                <w:rFonts w:ascii="Arial Narrow" w:eastAsia="Times New Roman" w:hAnsi="Arial Narrow" w:cs="Calibri"/>
                <w:color w:val="9C0006"/>
                <w:sz w:val="20"/>
                <w:szCs w:val="20"/>
              </w:rPr>
            </w:pPr>
            <w:r>
              <w:rPr>
                <w:rFonts w:ascii="Arial Narrow" w:hAnsi="Arial Narrow" w:cs="Calibri"/>
                <w:color w:val="9C0006"/>
                <w:sz w:val="20"/>
                <w:szCs w:val="20"/>
              </w:rPr>
              <w:t>&lt;</w:t>
            </w:r>
            <w:r w:rsidRPr="00583B58">
              <w:rPr>
                <w:rFonts w:ascii="Arial Narrow" w:hAnsi="Arial Narrow" w:cs="Calibri"/>
                <w:color w:val="9C0006"/>
                <w:sz w:val="20"/>
                <w:szCs w:val="20"/>
              </w:rPr>
              <w:t>0.00</w:t>
            </w:r>
            <w:r>
              <w:rPr>
                <w:rFonts w:ascii="Arial Narrow" w:hAnsi="Arial Narrow" w:cs="Calibri"/>
                <w:color w:val="9C0006"/>
                <w:sz w:val="20"/>
                <w:szCs w:val="20"/>
              </w:rPr>
              <w:t>1</w:t>
            </w:r>
          </w:p>
        </w:tc>
      </w:tr>
      <w:tr w:rsidR="000327DF" w:rsidRPr="00751E33" w14:paraId="32B5EC02" w14:textId="77777777" w:rsidTr="00077CE6">
        <w:trPr>
          <w:trHeight w:val="330"/>
        </w:trPr>
        <w:tc>
          <w:tcPr>
            <w:tcW w:w="3369" w:type="pct"/>
            <w:tcBorders>
              <w:top w:val="nil"/>
              <w:left w:val="nil"/>
              <w:bottom w:val="nil"/>
              <w:right w:val="nil"/>
            </w:tcBorders>
            <w:shd w:val="clear" w:color="auto" w:fill="auto"/>
            <w:noWrap/>
            <w:vAlign w:val="bottom"/>
            <w:hideMark/>
          </w:tcPr>
          <w:p w14:paraId="32E77464"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Bronchiectasis (vs. no</w:t>
            </w:r>
            <w:r>
              <w:rPr>
                <w:rFonts w:ascii="Arial Narrow" w:eastAsia="Times New Roman" w:hAnsi="Arial Narrow" w:cs="Calibri"/>
                <w:color w:val="000000"/>
                <w:sz w:val="20"/>
                <w:szCs w:val="20"/>
              </w:rPr>
              <w:t xml:space="preserve"> b</w:t>
            </w:r>
            <w:r w:rsidRPr="00751E33">
              <w:rPr>
                <w:rFonts w:ascii="Arial Narrow" w:eastAsia="Times New Roman" w:hAnsi="Arial Narrow" w:cs="Calibri"/>
                <w:color w:val="000000"/>
                <w:sz w:val="20"/>
                <w:szCs w:val="20"/>
              </w:rPr>
              <w:t>ronchiectasis</w:t>
            </w:r>
            <w:r w:rsidRPr="005E3016">
              <w:rPr>
                <w:rFonts w:ascii="Arial Narrow" w:eastAsia="Times New Roman" w:hAnsi="Arial Narrow" w:cs="Calibri"/>
                <w:color w:val="000000"/>
                <w:sz w:val="20"/>
                <w:szCs w:val="20"/>
              </w:rPr>
              <w:t>)</w:t>
            </w:r>
          </w:p>
        </w:tc>
        <w:tc>
          <w:tcPr>
            <w:tcW w:w="584" w:type="pct"/>
            <w:tcBorders>
              <w:top w:val="nil"/>
              <w:left w:val="nil"/>
              <w:bottom w:val="nil"/>
              <w:right w:val="nil"/>
            </w:tcBorders>
            <w:shd w:val="clear" w:color="auto" w:fill="auto"/>
            <w:vAlign w:val="bottom"/>
            <w:hideMark/>
          </w:tcPr>
          <w:p w14:paraId="7469021B"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-0.150</w:t>
            </w:r>
          </w:p>
        </w:tc>
        <w:tc>
          <w:tcPr>
            <w:tcW w:w="438" w:type="pct"/>
            <w:tcBorders>
              <w:top w:val="nil"/>
              <w:left w:val="nil"/>
              <w:bottom w:val="nil"/>
              <w:right w:val="nil"/>
            </w:tcBorders>
            <w:shd w:val="clear" w:color="auto" w:fill="auto"/>
            <w:vAlign w:val="bottom"/>
            <w:hideMark/>
          </w:tcPr>
          <w:p w14:paraId="7B82C795"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0.086</w:t>
            </w:r>
          </w:p>
        </w:tc>
        <w:tc>
          <w:tcPr>
            <w:tcW w:w="608" w:type="pct"/>
            <w:tcBorders>
              <w:top w:val="nil"/>
              <w:left w:val="nil"/>
              <w:bottom w:val="nil"/>
              <w:right w:val="nil"/>
            </w:tcBorders>
            <w:shd w:val="clear" w:color="auto" w:fill="auto"/>
            <w:vAlign w:val="bottom"/>
            <w:hideMark/>
          </w:tcPr>
          <w:p w14:paraId="632F900B"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0.081</w:t>
            </w:r>
          </w:p>
        </w:tc>
      </w:tr>
      <w:tr w:rsidR="000327DF" w:rsidRPr="00751E33" w14:paraId="43F4CAF2" w14:textId="77777777" w:rsidTr="00077CE6">
        <w:trPr>
          <w:trHeight w:val="330"/>
        </w:trPr>
        <w:tc>
          <w:tcPr>
            <w:tcW w:w="3369" w:type="pct"/>
            <w:tcBorders>
              <w:top w:val="nil"/>
              <w:left w:val="nil"/>
              <w:bottom w:val="nil"/>
              <w:right w:val="nil"/>
            </w:tcBorders>
            <w:shd w:val="clear" w:color="000000" w:fill="F2F2F2"/>
            <w:noWrap/>
            <w:vAlign w:val="bottom"/>
            <w:hideMark/>
          </w:tcPr>
          <w:p w14:paraId="082BE5CB"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Date of symptom onset</w:t>
            </w:r>
            <w:r>
              <w:rPr>
                <w:rFonts w:ascii="Arial Narrow" w:eastAsia="Times New Roman" w:hAnsi="Arial Narrow" w:cs="Calibri"/>
                <w:color w:val="000000"/>
                <w:sz w:val="20"/>
                <w:szCs w:val="20"/>
              </w:rPr>
              <w:t xml:space="preserve"> (per day increase)</w:t>
            </w:r>
          </w:p>
        </w:tc>
        <w:tc>
          <w:tcPr>
            <w:tcW w:w="584" w:type="pct"/>
            <w:tcBorders>
              <w:top w:val="nil"/>
              <w:left w:val="nil"/>
              <w:bottom w:val="nil"/>
              <w:right w:val="nil"/>
            </w:tcBorders>
            <w:shd w:val="clear" w:color="000000" w:fill="F2F2F2"/>
            <w:vAlign w:val="bottom"/>
            <w:hideMark/>
          </w:tcPr>
          <w:p w14:paraId="171B40CA"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0.001</w:t>
            </w:r>
          </w:p>
        </w:tc>
        <w:tc>
          <w:tcPr>
            <w:tcW w:w="438" w:type="pct"/>
            <w:tcBorders>
              <w:top w:val="nil"/>
              <w:left w:val="nil"/>
              <w:bottom w:val="nil"/>
              <w:right w:val="nil"/>
            </w:tcBorders>
            <w:shd w:val="clear" w:color="000000" w:fill="F2F2F2"/>
            <w:vAlign w:val="bottom"/>
            <w:hideMark/>
          </w:tcPr>
          <w:p w14:paraId="0B914706"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0.000</w:t>
            </w:r>
          </w:p>
        </w:tc>
        <w:tc>
          <w:tcPr>
            <w:tcW w:w="608" w:type="pct"/>
            <w:tcBorders>
              <w:top w:val="nil"/>
              <w:left w:val="nil"/>
              <w:bottom w:val="nil"/>
              <w:right w:val="nil"/>
            </w:tcBorders>
            <w:shd w:val="clear" w:color="000000" w:fill="FFC7CE"/>
            <w:vAlign w:val="bottom"/>
            <w:hideMark/>
          </w:tcPr>
          <w:p w14:paraId="5F5E6926" w14:textId="77777777" w:rsidR="000327DF" w:rsidRDefault="000327DF" w:rsidP="00077CE6">
            <w:pPr>
              <w:spacing w:before="120" w:after="0" w:line="240" w:lineRule="auto"/>
              <w:ind w:left="340"/>
              <w:jc w:val="right"/>
              <w:rPr>
                <w:rFonts w:ascii="Arial Narrow" w:eastAsia="Times New Roman" w:hAnsi="Arial Narrow" w:cs="Calibri"/>
                <w:color w:val="9C0006"/>
                <w:sz w:val="20"/>
                <w:szCs w:val="20"/>
              </w:rPr>
            </w:pPr>
            <w:r>
              <w:rPr>
                <w:rFonts w:ascii="Arial Narrow" w:hAnsi="Arial Narrow" w:cs="Calibri"/>
                <w:color w:val="9C0006"/>
                <w:sz w:val="20"/>
                <w:szCs w:val="20"/>
              </w:rPr>
              <w:t>&lt;</w:t>
            </w:r>
            <w:r w:rsidRPr="00583B58">
              <w:rPr>
                <w:rFonts w:ascii="Arial Narrow" w:hAnsi="Arial Narrow" w:cs="Calibri"/>
                <w:color w:val="9C0006"/>
                <w:sz w:val="20"/>
                <w:szCs w:val="20"/>
              </w:rPr>
              <w:t>0.00</w:t>
            </w:r>
            <w:r>
              <w:rPr>
                <w:rFonts w:ascii="Arial Narrow" w:hAnsi="Arial Narrow" w:cs="Calibri"/>
                <w:color w:val="9C0006"/>
                <w:sz w:val="20"/>
                <w:szCs w:val="20"/>
              </w:rPr>
              <w:t>1</w:t>
            </w:r>
          </w:p>
        </w:tc>
      </w:tr>
      <w:tr w:rsidR="000327DF" w:rsidRPr="00751E33" w14:paraId="31F865EC" w14:textId="77777777" w:rsidTr="00077CE6">
        <w:trPr>
          <w:trHeight w:val="330"/>
        </w:trPr>
        <w:tc>
          <w:tcPr>
            <w:tcW w:w="3369" w:type="pct"/>
            <w:tcBorders>
              <w:top w:val="nil"/>
              <w:left w:val="nil"/>
              <w:bottom w:val="nil"/>
              <w:right w:val="nil"/>
            </w:tcBorders>
            <w:shd w:val="clear" w:color="000000" w:fill="F2F2F2"/>
            <w:noWrap/>
            <w:vAlign w:val="bottom"/>
            <w:hideMark/>
          </w:tcPr>
          <w:p w14:paraId="211A6E39"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Nodular or cavitary opacities on chest radiograph (vs. none)</w:t>
            </w:r>
          </w:p>
        </w:tc>
        <w:tc>
          <w:tcPr>
            <w:tcW w:w="584" w:type="pct"/>
            <w:tcBorders>
              <w:top w:val="nil"/>
              <w:left w:val="nil"/>
              <w:bottom w:val="nil"/>
              <w:right w:val="nil"/>
            </w:tcBorders>
            <w:shd w:val="clear" w:color="000000" w:fill="F2F2F2"/>
            <w:vAlign w:val="bottom"/>
            <w:hideMark/>
          </w:tcPr>
          <w:p w14:paraId="0E033F0D"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0.021</w:t>
            </w:r>
          </w:p>
        </w:tc>
        <w:tc>
          <w:tcPr>
            <w:tcW w:w="438" w:type="pct"/>
            <w:tcBorders>
              <w:top w:val="nil"/>
              <w:left w:val="nil"/>
              <w:bottom w:val="nil"/>
              <w:right w:val="nil"/>
            </w:tcBorders>
            <w:shd w:val="clear" w:color="000000" w:fill="F2F2F2"/>
            <w:vAlign w:val="bottom"/>
            <w:hideMark/>
          </w:tcPr>
          <w:p w14:paraId="2D968DFF"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0.120</w:t>
            </w:r>
          </w:p>
        </w:tc>
        <w:tc>
          <w:tcPr>
            <w:tcW w:w="608" w:type="pct"/>
            <w:tcBorders>
              <w:top w:val="nil"/>
              <w:left w:val="nil"/>
              <w:bottom w:val="nil"/>
              <w:right w:val="nil"/>
            </w:tcBorders>
            <w:shd w:val="clear" w:color="000000" w:fill="F2F2F2"/>
            <w:vAlign w:val="bottom"/>
            <w:hideMark/>
          </w:tcPr>
          <w:p w14:paraId="03D232ED"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0.863</w:t>
            </w:r>
          </w:p>
        </w:tc>
      </w:tr>
      <w:tr w:rsidR="000327DF" w:rsidRPr="00751E33" w14:paraId="140B66BF" w14:textId="77777777" w:rsidTr="00077CE6">
        <w:trPr>
          <w:trHeight w:val="330"/>
        </w:trPr>
        <w:tc>
          <w:tcPr>
            <w:tcW w:w="3369" w:type="pct"/>
            <w:tcBorders>
              <w:top w:val="nil"/>
              <w:left w:val="nil"/>
              <w:bottom w:val="nil"/>
              <w:right w:val="nil"/>
            </w:tcBorders>
            <w:shd w:val="clear" w:color="000000" w:fill="F2F2F2"/>
            <w:noWrap/>
            <w:vAlign w:val="bottom"/>
            <w:hideMark/>
          </w:tcPr>
          <w:p w14:paraId="216ACE93"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Unknown if nodular or cavitary opacities on chest radiograph (vs. none)</w:t>
            </w:r>
          </w:p>
        </w:tc>
        <w:tc>
          <w:tcPr>
            <w:tcW w:w="584" w:type="pct"/>
            <w:tcBorders>
              <w:top w:val="nil"/>
              <w:left w:val="nil"/>
              <w:bottom w:val="nil"/>
              <w:right w:val="nil"/>
            </w:tcBorders>
            <w:shd w:val="clear" w:color="000000" w:fill="F2F2F2"/>
            <w:vAlign w:val="bottom"/>
            <w:hideMark/>
          </w:tcPr>
          <w:p w14:paraId="1983ADF4"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0.037</w:t>
            </w:r>
          </w:p>
        </w:tc>
        <w:tc>
          <w:tcPr>
            <w:tcW w:w="438" w:type="pct"/>
            <w:tcBorders>
              <w:top w:val="nil"/>
              <w:left w:val="nil"/>
              <w:bottom w:val="nil"/>
              <w:right w:val="nil"/>
            </w:tcBorders>
            <w:shd w:val="clear" w:color="000000" w:fill="F2F2F2"/>
            <w:vAlign w:val="bottom"/>
            <w:hideMark/>
          </w:tcPr>
          <w:p w14:paraId="6BB5273B"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0.129</w:t>
            </w:r>
          </w:p>
        </w:tc>
        <w:tc>
          <w:tcPr>
            <w:tcW w:w="608" w:type="pct"/>
            <w:tcBorders>
              <w:top w:val="nil"/>
              <w:left w:val="nil"/>
              <w:bottom w:val="nil"/>
              <w:right w:val="nil"/>
            </w:tcBorders>
            <w:shd w:val="clear" w:color="000000" w:fill="F2F2F2"/>
            <w:vAlign w:val="bottom"/>
            <w:hideMark/>
          </w:tcPr>
          <w:p w14:paraId="1FAEE81D"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0.775</w:t>
            </w:r>
          </w:p>
        </w:tc>
      </w:tr>
      <w:tr w:rsidR="000327DF" w:rsidRPr="00751E33" w14:paraId="4E724664" w14:textId="77777777" w:rsidTr="00077CE6">
        <w:trPr>
          <w:trHeight w:val="330"/>
        </w:trPr>
        <w:tc>
          <w:tcPr>
            <w:tcW w:w="3369" w:type="pct"/>
            <w:tcBorders>
              <w:top w:val="nil"/>
              <w:left w:val="nil"/>
              <w:bottom w:val="nil"/>
              <w:right w:val="nil"/>
            </w:tcBorders>
            <w:shd w:val="clear" w:color="auto" w:fill="auto"/>
            <w:noWrap/>
            <w:vAlign w:val="bottom"/>
            <w:hideMark/>
          </w:tcPr>
          <w:p w14:paraId="1471686F"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Date of symptom onset</w:t>
            </w:r>
            <w:r>
              <w:rPr>
                <w:rFonts w:ascii="Arial Narrow" w:eastAsia="Times New Roman" w:hAnsi="Arial Narrow" w:cs="Calibri"/>
                <w:color w:val="000000"/>
                <w:sz w:val="20"/>
                <w:szCs w:val="20"/>
              </w:rPr>
              <w:t xml:space="preserve"> (per day increase)</w:t>
            </w:r>
          </w:p>
        </w:tc>
        <w:tc>
          <w:tcPr>
            <w:tcW w:w="584" w:type="pct"/>
            <w:tcBorders>
              <w:top w:val="nil"/>
              <w:left w:val="nil"/>
              <w:bottom w:val="nil"/>
              <w:right w:val="nil"/>
            </w:tcBorders>
            <w:shd w:val="clear" w:color="auto" w:fill="auto"/>
            <w:vAlign w:val="bottom"/>
            <w:hideMark/>
          </w:tcPr>
          <w:p w14:paraId="5DC022E5"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0.001</w:t>
            </w:r>
          </w:p>
        </w:tc>
        <w:tc>
          <w:tcPr>
            <w:tcW w:w="438" w:type="pct"/>
            <w:tcBorders>
              <w:top w:val="nil"/>
              <w:left w:val="nil"/>
              <w:bottom w:val="nil"/>
              <w:right w:val="nil"/>
            </w:tcBorders>
            <w:shd w:val="clear" w:color="auto" w:fill="auto"/>
            <w:vAlign w:val="bottom"/>
            <w:hideMark/>
          </w:tcPr>
          <w:p w14:paraId="2F078A5A"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0.000</w:t>
            </w:r>
          </w:p>
        </w:tc>
        <w:tc>
          <w:tcPr>
            <w:tcW w:w="608" w:type="pct"/>
            <w:tcBorders>
              <w:top w:val="nil"/>
              <w:left w:val="nil"/>
              <w:bottom w:val="nil"/>
              <w:right w:val="nil"/>
            </w:tcBorders>
            <w:shd w:val="clear" w:color="000000" w:fill="FFC7CE"/>
            <w:vAlign w:val="bottom"/>
            <w:hideMark/>
          </w:tcPr>
          <w:p w14:paraId="4F536C65" w14:textId="77777777" w:rsidR="000327DF" w:rsidRDefault="000327DF" w:rsidP="00077CE6">
            <w:pPr>
              <w:spacing w:before="120" w:after="0" w:line="240" w:lineRule="auto"/>
              <w:ind w:left="340"/>
              <w:jc w:val="right"/>
              <w:rPr>
                <w:rFonts w:ascii="Arial Narrow" w:eastAsia="Times New Roman" w:hAnsi="Arial Narrow" w:cs="Calibri"/>
                <w:color w:val="9C0006"/>
                <w:sz w:val="20"/>
                <w:szCs w:val="20"/>
              </w:rPr>
            </w:pPr>
            <w:r>
              <w:rPr>
                <w:rFonts w:ascii="Arial Narrow" w:hAnsi="Arial Narrow" w:cs="Calibri"/>
                <w:color w:val="9C0006"/>
                <w:sz w:val="20"/>
                <w:szCs w:val="20"/>
              </w:rPr>
              <w:t>&lt;</w:t>
            </w:r>
            <w:r w:rsidRPr="00583B58">
              <w:rPr>
                <w:rFonts w:ascii="Arial Narrow" w:hAnsi="Arial Narrow" w:cs="Calibri"/>
                <w:color w:val="9C0006"/>
                <w:sz w:val="20"/>
                <w:szCs w:val="20"/>
              </w:rPr>
              <w:t>0.00</w:t>
            </w:r>
            <w:r>
              <w:rPr>
                <w:rFonts w:ascii="Arial Narrow" w:hAnsi="Arial Narrow" w:cs="Calibri"/>
                <w:color w:val="9C0006"/>
                <w:sz w:val="20"/>
                <w:szCs w:val="20"/>
              </w:rPr>
              <w:t>1</w:t>
            </w:r>
          </w:p>
        </w:tc>
      </w:tr>
      <w:tr w:rsidR="000327DF" w:rsidRPr="00751E33" w14:paraId="24F4849B" w14:textId="77777777" w:rsidTr="00077CE6">
        <w:trPr>
          <w:trHeight w:val="330"/>
        </w:trPr>
        <w:tc>
          <w:tcPr>
            <w:tcW w:w="3369" w:type="pct"/>
            <w:tcBorders>
              <w:top w:val="nil"/>
              <w:left w:val="nil"/>
              <w:bottom w:val="nil"/>
              <w:right w:val="nil"/>
            </w:tcBorders>
            <w:shd w:val="clear" w:color="auto" w:fill="auto"/>
            <w:noWrap/>
            <w:vAlign w:val="bottom"/>
            <w:hideMark/>
          </w:tcPr>
          <w:p w14:paraId="11035328"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HRCT scan shows multifocal</w:t>
            </w:r>
            <w:r>
              <w:rPr>
                <w:rFonts w:ascii="Arial Narrow" w:eastAsia="Times New Roman" w:hAnsi="Arial Narrow" w:cs="Calibri"/>
                <w:color w:val="000000"/>
                <w:sz w:val="20"/>
                <w:szCs w:val="20"/>
              </w:rPr>
              <w:t xml:space="preserve"> </w:t>
            </w:r>
            <w:r w:rsidRPr="005E3016">
              <w:rPr>
                <w:rFonts w:ascii="Arial Narrow" w:eastAsia="Times New Roman" w:hAnsi="Arial Narrow" w:cs="Calibri"/>
                <w:color w:val="000000"/>
                <w:sz w:val="20"/>
                <w:szCs w:val="20"/>
              </w:rPr>
              <w:t>bronchiectasis with multiple small nodules (vs. none)</w:t>
            </w:r>
          </w:p>
        </w:tc>
        <w:tc>
          <w:tcPr>
            <w:tcW w:w="584" w:type="pct"/>
            <w:tcBorders>
              <w:top w:val="nil"/>
              <w:left w:val="nil"/>
              <w:bottom w:val="nil"/>
              <w:right w:val="nil"/>
            </w:tcBorders>
            <w:shd w:val="clear" w:color="auto" w:fill="auto"/>
            <w:vAlign w:val="bottom"/>
            <w:hideMark/>
          </w:tcPr>
          <w:p w14:paraId="4799DD6D"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0.022</w:t>
            </w:r>
          </w:p>
        </w:tc>
        <w:tc>
          <w:tcPr>
            <w:tcW w:w="438" w:type="pct"/>
            <w:tcBorders>
              <w:top w:val="nil"/>
              <w:left w:val="nil"/>
              <w:bottom w:val="nil"/>
              <w:right w:val="nil"/>
            </w:tcBorders>
            <w:shd w:val="clear" w:color="auto" w:fill="auto"/>
            <w:vAlign w:val="bottom"/>
            <w:hideMark/>
          </w:tcPr>
          <w:p w14:paraId="74D08BC4"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0.106</w:t>
            </w:r>
          </w:p>
        </w:tc>
        <w:tc>
          <w:tcPr>
            <w:tcW w:w="608" w:type="pct"/>
            <w:tcBorders>
              <w:top w:val="nil"/>
              <w:left w:val="nil"/>
              <w:bottom w:val="nil"/>
              <w:right w:val="nil"/>
            </w:tcBorders>
            <w:shd w:val="clear" w:color="auto" w:fill="auto"/>
            <w:vAlign w:val="bottom"/>
            <w:hideMark/>
          </w:tcPr>
          <w:p w14:paraId="7F8ED0FD"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0.839</w:t>
            </w:r>
          </w:p>
        </w:tc>
      </w:tr>
      <w:tr w:rsidR="000327DF" w:rsidRPr="00751E33" w14:paraId="18A1BC20" w14:textId="77777777" w:rsidTr="00077CE6">
        <w:trPr>
          <w:trHeight w:val="330"/>
        </w:trPr>
        <w:tc>
          <w:tcPr>
            <w:tcW w:w="3369" w:type="pct"/>
            <w:tcBorders>
              <w:top w:val="nil"/>
              <w:left w:val="nil"/>
              <w:bottom w:val="nil"/>
              <w:right w:val="nil"/>
            </w:tcBorders>
            <w:shd w:val="clear" w:color="auto" w:fill="auto"/>
            <w:noWrap/>
            <w:vAlign w:val="bottom"/>
            <w:hideMark/>
          </w:tcPr>
          <w:p w14:paraId="538FEA2D"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Unknown if HRCT scan shows multifocal</w:t>
            </w:r>
            <w:r>
              <w:rPr>
                <w:rFonts w:ascii="Arial Narrow" w:eastAsia="Times New Roman" w:hAnsi="Arial Narrow" w:cs="Calibri"/>
                <w:color w:val="000000"/>
                <w:sz w:val="20"/>
                <w:szCs w:val="20"/>
              </w:rPr>
              <w:t xml:space="preserve"> </w:t>
            </w:r>
            <w:r w:rsidRPr="005E3016">
              <w:rPr>
                <w:rFonts w:ascii="Arial Narrow" w:eastAsia="Times New Roman" w:hAnsi="Arial Narrow" w:cs="Calibri"/>
                <w:color w:val="000000"/>
                <w:sz w:val="20"/>
                <w:szCs w:val="20"/>
              </w:rPr>
              <w:t>bronchiectasis with multiple small nodules (vs. none)</w:t>
            </w:r>
          </w:p>
        </w:tc>
        <w:tc>
          <w:tcPr>
            <w:tcW w:w="584" w:type="pct"/>
            <w:tcBorders>
              <w:top w:val="nil"/>
              <w:left w:val="nil"/>
              <w:bottom w:val="nil"/>
              <w:right w:val="nil"/>
            </w:tcBorders>
            <w:shd w:val="clear" w:color="auto" w:fill="auto"/>
            <w:vAlign w:val="bottom"/>
            <w:hideMark/>
          </w:tcPr>
          <w:p w14:paraId="53179F35"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0.052</w:t>
            </w:r>
          </w:p>
        </w:tc>
        <w:tc>
          <w:tcPr>
            <w:tcW w:w="438" w:type="pct"/>
            <w:tcBorders>
              <w:top w:val="nil"/>
              <w:left w:val="nil"/>
              <w:bottom w:val="nil"/>
              <w:right w:val="nil"/>
            </w:tcBorders>
            <w:shd w:val="clear" w:color="auto" w:fill="auto"/>
            <w:vAlign w:val="bottom"/>
            <w:hideMark/>
          </w:tcPr>
          <w:p w14:paraId="4C438C7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0.118</w:t>
            </w:r>
          </w:p>
        </w:tc>
        <w:tc>
          <w:tcPr>
            <w:tcW w:w="608" w:type="pct"/>
            <w:tcBorders>
              <w:top w:val="nil"/>
              <w:left w:val="nil"/>
              <w:bottom w:val="nil"/>
              <w:right w:val="nil"/>
            </w:tcBorders>
            <w:shd w:val="clear" w:color="auto" w:fill="auto"/>
            <w:vAlign w:val="bottom"/>
            <w:hideMark/>
          </w:tcPr>
          <w:p w14:paraId="566FC33C"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0.664</w:t>
            </w:r>
          </w:p>
        </w:tc>
      </w:tr>
      <w:tr w:rsidR="000327DF" w:rsidRPr="00751E33" w14:paraId="64FB6110" w14:textId="77777777" w:rsidTr="00077CE6">
        <w:trPr>
          <w:trHeight w:val="330"/>
        </w:trPr>
        <w:tc>
          <w:tcPr>
            <w:tcW w:w="3369" w:type="pct"/>
            <w:tcBorders>
              <w:top w:val="nil"/>
              <w:left w:val="nil"/>
              <w:bottom w:val="nil"/>
              <w:right w:val="nil"/>
            </w:tcBorders>
            <w:shd w:val="clear" w:color="000000" w:fill="F2F2F2"/>
            <w:noWrap/>
            <w:vAlign w:val="bottom"/>
            <w:hideMark/>
          </w:tcPr>
          <w:p w14:paraId="0FBADD9C"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Date of symptom onset</w:t>
            </w:r>
            <w:r>
              <w:rPr>
                <w:rFonts w:ascii="Arial Narrow" w:eastAsia="Times New Roman" w:hAnsi="Arial Narrow" w:cs="Calibri"/>
                <w:color w:val="000000"/>
                <w:sz w:val="20"/>
                <w:szCs w:val="20"/>
              </w:rPr>
              <w:t xml:space="preserve"> (per day increase)</w:t>
            </w:r>
          </w:p>
        </w:tc>
        <w:tc>
          <w:tcPr>
            <w:tcW w:w="584" w:type="pct"/>
            <w:tcBorders>
              <w:top w:val="nil"/>
              <w:left w:val="nil"/>
              <w:bottom w:val="nil"/>
              <w:right w:val="nil"/>
            </w:tcBorders>
            <w:shd w:val="clear" w:color="000000" w:fill="F2F2F2"/>
            <w:vAlign w:val="bottom"/>
            <w:hideMark/>
          </w:tcPr>
          <w:p w14:paraId="0ED4762D"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0.001</w:t>
            </w:r>
          </w:p>
        </w:tc>
        <w:tc>
          <w:tcPr>
            <w:tcW w:w="438" w:type="pct"/>
            <w:tcBorders>
              <w:top w:val="nil"/>
              <w:left w:val="nil"/>
              <w:bottom w:val="nil"/>
              <w:right w:val="nil"/>
            </w:tcBorders>
            <w:shd w:val="clear" w:color="000000" w:fill="F2F2F2"/>
            <w:vAlign w:val="bottom"/>
            <w:hideMark/>
          </w:tcPr>
          <w:p w14:paraId="07C66149"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0.000</w:t>
            </w:r>
          </w:p>
        </w:tc>
        <w:tc>
          <w:tcPr>
            <w:tcW w:w="608" w:type="pct"/>
            <w:tcBorders>
              <w:top w:val="nil"/>
              <w:left w:val="nil"/>
              <w:bottom w:val="nil"/>
              <w:right w:val="nil"/>
            </w:tcBorders>
            <w:shd w:val="clear" w:color="000000" w:fill="FFC7CE"/>
            <w:vAlign w:val="bottom"/>
            <w:hideMark/>
          </w:tcPr>
          <w:p w14:paraId="608EE531" w14:textId="77777777" w:rsidR="000327DF" w:rsidRDefault="000327DF" w:rsidP="00077CE6">
            <w:pPr>
              <w:spacing w:before="120" w:after="0" w:line="240" w:lineRule="auto"/>
              <w:ind w:left="340"/>
              <w:jc w:val="right"/>
              <w:rPr>
                <w:rFonts w:ascii="Arial Narrow" w:eastAsia="Times New Roman" w:hAnsi="Arial Narrow" w:cs="Calibri"/>
                <w:color w:val="9C0006"/>
                <w:sz w:val="20"/>
                <w:szCs w:val="20"/>
              </w:rPr>
            </w:pPr>
            <w:r>
              <w:rPr>
                <w:rFonts w:ascii="Arial Narrow" w:hAnsi="Arial Narrow" w:cs="Calibri"/>
                <w:color w:val="9C0006"/>
                <w:sz w:val="20"/>
                <w:szCs w:val="20"/>
              </w:rPr>
              <w:t>&lt;</w:t>
            </w:r>
            <w:r w:rsidRPr="00583B58">
              <w:rPr>
                <w:rFonts w:ascii="Arial Narrow" w:hAnsi="Arial Narrow" w:cs="Calibri"/>
                <w:color w:val="9C0006"/>
                <w:sz w:val="20"/>
                <w:szCs w:val="20"/>
              </w:rPr>
              <w:t>0.00</w:t>
            </w:r>
            <w:r>
              <w:rPr>
                <w:rFonts w:ascii="Arial Narrow" w:hAnsi="Arial Narrow" w:cs="Calibri"/>
                <w:color w:val="9C0006"/>
                <w:sz w:val="20"/>
                <w:szCs w:val="20"/>
              </w:rPr>
              <w:t>1</w:t>
            </w:r>
          </w:p>
        </w:tc>
      </w:tr>
      <w:tr w:rsidR="000327DF" w:rsidRPr="00751E33" w14:paraId="359E19BE" w14:textId="77777777" w:rsidTr="00077CE6">
        <w:trPr>
          <w:trHeight w:val="330"/>
        </w:trPr>
        <w:tc>
          <w:tcPr>
            <w:tcW w:w="3369" w:type="pct"/>
            <w:tcBorders>
              <w:top w:val="nil"/>
              <w:left w:val="nil"/>
              <w:bottom w:val="nil"/>
              <w:right w:val="nil"/>
            </w:tcBorders>
            <w:shd w:val="clear" w:color="000000" w:fill="F2F2F2"/>
            <w:noWrap/>
            <w:vAlign w:val="bottom"/>
            <w:hideMark/>
          </w:tcPr>
          <w:p w14:paraId="1AC7A1F8"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HRCT scan shows cavities/nodular change (vs. none)</w:t>
            </w:r>
          </w:p>
        </w:tc>
        <w:tc>
          <w:tcPr>
            <w:tcW w:w="584" w:type="pct"/>
            <w:tcBorders>
              <w:top w:val="nil"/>
              <w:left w:val="nil"/>
              <w:bottom w:val="nil"/>
              <w:right w:val="nil"/>
            </w:tcBorders>
            <w:shd w:val="clear" w:color="000000" w:fill="F2F2F2"/>
            <w:vAlign w:val="bottom"/>
            <w:hideMark/>
          </w:tcPr>
          <w:p w14:paraId="779D63EF"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-0.079</w:t>
            </w:r>
          </w:p>
        </w:tc>
        <w:tc>
          <w:tcPr>
            <w:tcW w:w="438" w:type="pct"/>
            <w:tcBorders>
              <w:top w:val="nil"/>
              <w:left w:val="nil"/>
              <w:bottom w:val="nil"/>
              <w:right w:val="nil"/>
            </w:tcBorders>
            <w:shd w:val="clear" w:color="000000" w:fill="F2F2F2"/>
            <w:vAlign w:val="bottom"/>
            <w:hideMark/>
          </w:tcPr>
          <w:p w14:paraId="6C0FB48B"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0.106</w:t>
            </w:r>
          </w:p>
        </w:tc>
        <w:tc>
          <w:tcPr>
            <w:tcW w:w="608" w:type="pct"/>
            <w:tcBorders>
              <w:top w:val="nil"/>
              <w:left w:val="nil"/>
              <w:bottom w:val="nil"/>
              <w:right w:val="nil"/>
            </w:tcBorders>
            <w:shd w:val="clear" w:color="000000" w:fill="F2F2F2"/>
            <w:vAlign w:val="bottom"/>
            <w:hideMark/>
          </w:tcPr>
          <w:p w14:paraId="318E27EA"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0.454</w:t>
            </w:r>
          </w:p>
        </w:tc>
      </w:tr>
      <w:tr w:rsidR="000327DF" w:rsidRPr="00751E33" w14:paraId="40052209" w14:textId="77777777" w:rsidTr="00077CE6">
        <w:trPr>
          <w:trHeight w:val="330"/>
        </w:trPr>
        <w:tc>
          <w:tcPr>
            <w:tcW w:w="3369" w:type="pct"/>
            <w:tcBorders>
              <w:top w:val="nil"/>
              <w:left w:val="nil"/>
              <w:bottom w:val="nil"/>
              <w:right w:val="nil"/>
            </w:tcBorders>
            <w:shd w:val="clear" w:color="000000" w:fill="F2F2F2"/>
            <w:noWrap/>
            <w:vAlign w:val="bottom"/>
            <w:hideMark/>
          </w:tcPr>
          <w:p w14:paraId="0D4E70C8"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Unknown if HRCT scan shows cavities/nodular change (vs. none)</w:t>
            </w:r>
          </w:p>
        </w:tc>
        <w:tc>
          <w:tcPr>
            <w:tcW w:w="584" w:type="pct"/>
            <w:tcBorders>
              <w:top w:val="nil"/>
              <w:left w:val="nil"/>
              <w:bottom w:val="nil"/>
              <w:right w:val="nil"/>
            </w:tcBorders>
            <w:shd w:val="clear" w:color="000000" w:fill="F2F2F2"/>
            <w:vAlign w:val="bottom"/>
            <w:hideMark/>
          </w:tcPr>
          <w:p w14:paraId="15496B92"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0.002</w:t>
            </w:r>
          </w:p>
        </w:tc>
        <w:tc>
          <w:tcPr>
            <w:tcW w:w="438" w:type="pct"/>
            <w:tcBorders>
              <w:top w:val="nil"/>
              <w:left w:val="nil"/>
              <w:bottom w:val="nil"/>
              <w:right w:val="nil"/>
            </w:tcBorders>
            <w:shd w:val="clear" w:color="000000" w:fill="F2F2F2"/>
            <w:vAlign w:val="bottom"/>
            <w:hideMark/>
          </w:tcPr>
          <w:p w14:paraId="3CB07B6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0.112</w:t>
            </w:r>
          </w:p>
        </w:tc>
        <w:tc>
          <w:tcPr>
            <w:tcW w:w="608" w:type="pct"/>
            <w:tcBorders>
              <w:top w:val="nil"/>
              <w:left w:val="nil"/>
              <w:bottom w:val="nil"/>
              <w:right w:val="nil"/>
            </w:tcBorders>
            <w:shd w:val="clear" w:color="000000" w:fill="F2F2F2"/>
            <w:vAlign w:val="bottom"/>
            <w:hideMark/>
          </w:tcPr>
          <w:p w14:paraId="597A330B"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0.985</w:t>
            </w:r>
          </w:p>
        </w:tc>
      </w:tr>
      <w:tr w:rsidR="000327DF" w:rsidRPr="00751E33" w14:paraId="77803007" w14:textId="77777777" w:rsidTr="00077CE6">
        <w:trPr>
          <w:trHeight w:val="330"/>
        </w:trPr>
        <w:tc>
          <w:tcPr>
            <w:tcW w:w="3369" w:type="pct"/>
            <w:tcBorders>
              <w:top w:val="nil"/>
              <w:left w:val="nil"/>
              <w:bottom w:val="nil"/>
              <w:right w:val="nil"/>
            </w:tcBorders>
            <w:shd w:val="clear" w:color="auto" w:fill="auto"/>
            <w:noWrap/>
            <w:vAlign w:val="bottom"/>
            <w:hideMark/>
          </w:tcPr>
          <w:p w14:paraId="1FF78279"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Date of symptom onset</w:t>
            </w:r>
            <w:r>
              <w:rPr>
                <w:rFonts w:ascii="Arial Narrow" w:eastAsia="Times New Roman" w:hAnsi="Arial Narrow" w:cs="Calibri"/>
                <w:color w:val="000000"/>
                <w:sz w:val="20"/>
                <w:szCs w:val="20"/>
              </w:rPr>
              <w:t xml:space="preserve"> (per day increase)</w:t>
            </w:r>
          </w:p>
        </w:tc>
        <w:tc>
          <w:tcPr>
            <w:tcW w:w="584" w:type="pct"/>
            <w:tcBorders>
              <w:top w:val="nil"/>
              <w:left w:val="nil"/>
              <w:bottom w:val="nil"/>
              <w:right w:val="nil"/>
            </w:tcBorders>
            <w:shd w:val="clear" w:color="auto" w:fill="auto"/>
            <w:vAlign w:val="bottom"/>
            <w:hideMark/>
          </w:tcPr>
          <w:p w14:paraId="75550F34"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0.001</w:t>
            </w:r>
          </w:p>
        </w:tc>
        <w:tc>
          <w:tcPr>
            <w:tcW w:w="438" w:type="pct"/>
            <w:tcBorders>
              <w:top w:val="nil"/>
              <w:left w:val="nil"/>
              <w:bottom w:val="nil"/>
              <w:right w:val="nil"/>
            </w:tcBorders>
            <w:shd w:val="clear" w:color="auto" w:fill="auto"/>
            <w:vAlign w:val="bottom"/>
            <w:hideMark/>
          </w:tcPr>
          <w:p w14:paraId="5B354762"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0.000</w:t>
            </w:r>
          </w:p>
        </w:tc>
        <w:tc>
          <w:tcPr>
            <w:tcW w:w="608" w:type="pct"/>
            <w:tcBorders>
              <w:top w:val="nil"/>
              <w:left w:val="nil"/>
              <w:bottom w:val="nil"/>
              <w:right w:val="nil"/>
            </w:tcBorders>
            <w:shd w:val="clear" w:color="000000" w:fill="FFC7CE"/>
            <w:vAlign w:val="bottom"/>
            <w:hideMark/>
          </w:tcPr>
          <w:p w14:paraId="2600606E" w14:textId="77777777" w:rsidR="000327DF" w:rsidRDefault="000327DF" w:rsidP="00077CE6">
            <w:pPr>
              <w:spacing w:before="120" w:after="0" w:line="240" w:lineRule="auto"/>
              <w:ind w:left="340"/>
              <w:jc w:val="right"/>
              <w:rPr>
                <w:rFonts w:ascii="Arial Narrow" w:eastAsia="Times New Roman" w:hAnsi="Arial Narrow" w:cs="Calibri"/>
                <w:color w:val="9C0006"/>
                <w:sz w:val="20"/>
                <w:szCs w:val="20"/>
              </w:rPr>
            </w:pPr>
            <w:r>
              <w:rPr>
                <w:rFonts w:ascii="Arial Narrow" w:hAnsi="Arial Narrow" w:cs="Calibri"/>
                <w:color w:val="9C0006"/>
                <w:sz w:val="20"/>
                <w:szCs w:val="20"/>
              </w:rPr>
              <w:t>&lt;</w:t>
            </w:r>
            <w:r w:rsidRPr="00583B58">
              <w:rPr>
                <w:rFonts w:ascii="Arial Narrow" w:hAnsi="Arial Narrow" w:cs="Calibri"/>
                <w:color w:val="9C0006"/>
                <w:sz w:val="20"/>
                <w:szCs w:val="20"/>
              </w:rPr>
              <w:t>0.00</w:t>
            </w:r>
            <w:r>
              <w:rPr>
                <w:rFonts w:ascii="Arial Narrow" w:hAnsi="Arial Narrow" w:cs="Calibri"/>
                <w:color w:val="9C0006"/>
                <w:sz w:val="20"/>
                <w:szCs w:val="20"/>
              </w:rPr>
              <w:t>1</w:t>
            </w:r>
          </w:p>
        </w:tc>
      </w:tr>
      <w:tr w:rsidR="000327DF" w:rsidRPr="00751E33" w14:paraId="01708033" w14:textId="77777777" w:rsidTr="00077CE6">
        <w:trPr>
          <w:trHeight w:val="330"/>
        </w:trPr>
        <w:tc>
          <w:tcPr>
            <w:tcW w:w="3369" w:type="pct"/>
            <w:tcBorders>
              <w:top w:val="nil"/>
              <w:left w:val="nil"/>
              <w:bottom w:val="nil"/>
              <w:right w:val="nil"/>
            </w:tcBorders>
            <w:shd w:val="clear" w:color="auto" w:fill="auto"/>
            <w:noWrap/>
            <w:vAlign w:val="bottom"/>
            <w:hideMark/>
          </w:tcPr>
          <w:p w14:paraId="0BBF751B"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Infectious disease (vs. general medicine)</w:t>
            </w:r>
          </w:p>
        </w:tc>
        <w:tc>
          <w:tcPr>
            <w:tcW w:w="584" w:type="pct"/>
            <w:tcBorders>
              <w:top w:val="nil"/>
              <w:left w:val="nil"/>
              <w:bottom w:val="nil"/>
              <w:right w:val="nil"/>
            </w:tcBorders>
            <w:shd w:val="clear" w:color="auto" w:fill="auto"/>
            <w:vAlign w:val="bottom"/>
            <w:hideMark/>
          </w:tcPr>
          <w:p w14:paraId="4AFC4A53"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-0.377</w:t>
            </w:r>
          </w:p>
        </w:tc>
        <w:tc>
          <w:tcPr>
            <w:tcW w:w="438" w:type="pct"/>
            <w:tcBorders>
              <w:top w:val="nil"/>
              <w:left w:val="nil"/>
              <w:bottom w:val="nil"/>
              <w:right w:val="nil"/>
            </w:tcBorders>
            <w:shd w:val="clear" w:color="auto" w:fill="auto"/>
            <w:vAlign w:val="bottom"/>
            <w:hideMark/>
          </w:tcPr>
          <w:p w14:paraId="4BBC30DC"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0.140</w:t>
            </w:r>
          </w:p>
        </w:tc>
        <w:tc>
          <w:tcPr>
            <w:tcW w:w="608" w:type="pct"/>
            <w:tcBorders>
              <w:top w:val="nil"/>
              <w:left w:val="nil"/>
              <w:bottom w:val="nil"/>
              <w:right w:val="nil"/>
            </w:tcBorders>
            <w:shd w:val="clear" w:color="000000" w:fill="FFC7CE"/>
            <w:vAlign w:val="bottom"/>
            <w:hideMark/>
          </w:tcPr>
          <w:p w14:paraId="0DAB588B" w14:textId="77777777" w:rsidR="000327DF" w:rsidRDefault="000327DF" w:rsidP="00077CE6">
            <w:pPr>
              <w:spacing w:before="120" w:after="0" w:line="240" w:lineRule="auto"/>
              <w:ind w:left="340"/>
              <w:jc w:val="right"/>
              <w:rPr>
                <w:rFonts w:ascii="Arial Narrow" w:eastAsia="Times New Roman" w:hAnsi="Arial Narrow" w:cs="Calibri"/>
                <w:color w:val="9C0006"/>
                <w:sz w:val="20"/>
                <w:szCs w:val="20"/>
              </w:rPr>
            </w:pPr>
            <w:r w:rsidRPr="005E3016">
              <w:rPr>
                <w:rFonts w:ascii="Arial Narrow" w:eastAsia="Times New Roman" w:hAnsi="Arial Narrow" w:cs="Calibri"/>
                <w:color w:val="9C0006"/>
                <w:sz w:val="20"/>
                <w:szCs w:val="20"/>
              </w:rPr>
              <w:t>0.008</w:t>
            </w:r>
          </w:p>
        </w:tc>
      </w:tr>
      <w:tr w:rsidR="000327DF" w:rsidRPr="00751E33" w14:paraId="46035C97" w14:textId="77777777" w:rsidTr="00077CE6">
        <w:trPr>
          <w:trHeight w:val="330"/>
        </w:trPr>
        <w:tc>
          <w:tcPr>
            <w:tcW w:w="3369" w:type="pct"/>
            <w:tcBorders>
              <w:top w:val="nil"/>
              <w:left w:val="nil"/>
              <w:bottom w:val="nil"/>
              <w:right w:val="nil"/>
            </w:tcBorders>
            <w:shd w:val="clear" w:color="auto" w:fill="auto"/>
            <w:noWrap/>
            <w:vAlign w:val="bottom"/>
            <w:hideMark/>
          </w:tcPr>
          <w:p w14:paraId="53F2E4BD"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Internal medicine (vs. general medicine)</w:t>
            </w:r>
          </w:p>
        </w:tc>
        <w:tc>
          <w:tcPr>
            <w:tcW w:w="584" w:type="pct"/>
            <w:tcBorders>
              <w:top w:val="nil"/>
              <w:left w:val="nil"/>
              <w:bottom w:val="nil"/>
              <w:right w:val="nil"/>
            </w:tcBorders>
            <w:shd w:val="clear" w:color="auto" w:fill="auto"/>
            <w:vAlign w:val="bottom"/>
            <w:hideMark/>
          </w:tcPr>
          <w:p w14:paraId="283E1A0D"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-0.184</w:t>
            </w:r>
          </w:p>
        </w:tc>
        <w:tc>
          <w:tcPr>
            <w:tcW w:w="438" w:type="pct"/>
            <w:tcBorders>
              <w:top w:val="nil"/>
              <w:left w:val="nil"/>
              <w:bottom w:val="nil"/>
              <w:right w:val="nil"/>
            </w:tcBorders>
            <w:shd w:val="clear" w:color="auto" w:fill="auto"/>
            <w:vAlign w:val="bottom"/>
            <w:hideMark/>
          </w:tcPr>
          <w:p w14:paraId="717A3F88"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0.130</w:t>
            </w:r>
          </w:p>
        </w:tc>
        <w:tc>
          <w:tcPr>
            <w:tcW w:w="608" w:type="pct"/>
            <w:tcBorders>
              <w:top w:val="nil"/>
              <w:left w:val="nil"/>
              <w:bottom w:val="nil"/>
              <w:right w:val="nil"/>
            </w:tcBorders>
            <w:shd w:val="clear" w:color="auto" w:fill="auto"/>
            <w:vAlign w:val="bottom"/>
            <w:hideMark/>
          </w:tcPr>
          <w:p w14:paraId="79E44A4D"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0.161</w:t>
            </w:r>
          </w:p>
        </w:tc>
      </w:tr>
      <w:tr w:rsidR="000327DF" w:rsidRPr="00751E33" w14:paraId="5918A17E" w14:textId="77777777" w:rsidTr="00077CE6">
        <w:trPr>
          <w:trHeight w:val="330"/>
        </w:trPr>
        <w:tc>
          <w:tcPr>
            <w:tcW w:w="3369" w:type="pct"/>
            <w:tcBorders>
              <w:top w:val="nil"/>
              <w:left w:val="nil"/>
              <w:bottom w:val="nil"/>
              <w:right w:val="nil"/>
            </w:tcBorders>
            <w:shd w:val="clear" w:color="auto" w:fill="auto"/>
            <w:noWrap/>
            <w:vAlign w:val="bottom"/>
            <w:hideMark/>
          </w:tcPr>
          <w:p w14:paraId="0A03E6FF"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Pulmonology/respiratory medicine (vs. general medicine)</w:t>
            </w:r>
          </w:p>
        </w:tc>
        <w:tc>
          <w:tcPr>
            <w:tcW w:w="584" w:type="pct"/>
            <w:tcBorders>
              <w:top w:val="nil"/>
              <w:left w:val="nil"/>
              <w:bottom w:val="nil"/>
              <w:right w:val="nil"/>
            </w:tcBorders>
            <w:shd w:val="clear" w:color="auto" w:fill="auto"/>
            <w:vAlign w:val="bottom"/>
            <w:hideMark/>
          </w:tcPr>
          <w:p w14:paraId="52C18BD1"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-0.299</w:t>
            </w:r>
          </w:p>
        </w:tc>
        <w:tc>
          <w:tcPr>
            <w:tcW w:w="438" w:type="pct"/>
            <w:tcBorders>
              <w:top w:val="nil"/>
              <w:left w:val="nil"/>
              <w:bottom w:val="nil"/>
              <w:right w:val="nil"/>
            </w:tcBorders>
            <w:shd w:val="clear" w:color="auto" w:fill="auto"/>
            <w:vAlign w:val="bottom"/>
            <w:hideMark/>
          </w:tcPr>
          <w:p w14:paraId="661DC031"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0.123</w:t>
            </w:r>
          </w:p>
        </w:tc>
        <w:tc>
          <w:tcPr>
            <w:tcW w:w="608" w:type="pct"/>
            <w:tcBorders>
              <w:top w:val="nil"/>
              <w:left w:val="nil"/>
              <w:bottom w:val="nil"/>
              <w:right w:val="nil"/>
            </w:tcBorders>
            <w:shd w:val="clear" w:color="000000" w:fill="FFC7CE"/>
            <w:vAlign w:val="bottom"/>
            <w:hideMark/>
          </w:tcPr>
          <w:p w14:paraId="1E630DE4" w14:textId="77777777" w:rsidR="000327DF" w:rsidRDefault="000327DF" w:rsidP="00077CE6">
            <w:pPr>
              <w:spacing w:before="120" w:after="0" w:line="240" w:lineRule="auto"/>
              <w:ind w:left="340"/>
              <w:jc w:val="right"/>
              <w:rPr>
                <w:rFonts w:ascii="Arial Narrow" w:eastAsia="Times New Roman" w:hAnsi="Arial Narrow" w:cs="Calibri"/>
                <w:color w:val="9C0006"/>
                <w:sz w:val="20"/>
                <w:szCs w:val="20"/>
              </w:rPr>
            </w:pPr>
            <w:r w:rsidRPr="005E3016">
              <w:rPr>
                <w:rFonts w:ascii="Arial Narrow" w:eastAsia="Times New Roman" w:hAnsi="Arial Narrow" w:cs="Calibri"/>
                <w:color w:val="9C0006"/>
                <w:sz w:val="20"/>
                <w:szCs w:val="20"/>
              </w:rPr>
              <w:t>0.017</w:t>
            </w:r>
          </w:p>
        </w:tc>
      </w:tr>
      <w:tr w:rsidR="000327DF" w:rsidRPr="00751E33" w14:paraId="0394DB7F" w14:textId="77777777" w:rsidTr="00077CE6">
        <w:trPr>
          <w:trHeight w:val="330"/>
        </w:trPr>
        <w:tc>
          <w:tcPr>
            <w:tcW w:w="3369" w:type="pct"/>
            <w:tcBorders>
              <w:top w:val="nil"/>
              <w:left w:val="nil"/>
              <w:bottom w:val="nil"/>
              <w:right w:val="nil"/>
            </w:tcBorders>
            <w:shd w:val="clear" w:color="auto" w:fill="auto"/>
            <w:noWrap/>
            <w:vAlign w:val="bottom"/>
            <w:hideMark/>
          </w:tcPr>
          <w:p w14:paraId="20F84B6C"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Other (vs. general medicine)</w:t>
            </w:r>
          </w:p>
        </w:tc>
        <w:tc>
          <w:tcPr>
            <w:tcW w:w="584" w:type="pct"/>
            <w:tcBorders>
              <w:top w:val="nil"/>
              <w:left w:val="nil"/>
              <w:bottom w:val="nil"/>
              <w:right w:val="nil"/>
            </w:tcBorders>
            <w:shd w:val="clear" w:color="auto" w:fill="auto"/>
            <w:vAlign w:val="bottom"/>
            <w:hideMark/>
          </w:tcPr>
          <w:p w14:paraId="7072303E"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0.098</w:t>
            </w:r>
          </w:p>
        </w:tc>
        <w:tc>
          <w:tcPr>
            <w:tcW w:w="438" w:type="pct"/>
            <w:tcBorders>
              <w:top w:val="nil"/>
              <w:left w:val="nil"/>
              <w:bottom w:val="nil"/>
              <w:right w:val="nil"/>
            </w:tcBorders>
            <w:shd w:val="clear" w:color="auto" w:fill="auto"/>
            <w:vAlign w:val="bottom"/>
            <w:hideMark/>
          </w:tcPr>
          <w:p w14:paraId="67B1BBB3"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0.370</w:t>
            </w:r>
          </w:p>
        </w:tc>
        <w:tc>
          <w:tcPr>
            <w:tcW w:w="608" w:type="pct"/>
            <w:tcBorders>
              <w:top w:val="nil"/>
              <w:left w:val="nil"/>
              <w:bottom w:val="nil"/>
              <w:right w:val="nil"/>
            </w:tcBorders>
            <w:shd w:val="clear" w:color="auto" w:fill="auto"/>
            <w:vAlign w:val="bottom"/>
            <w:hideMark/>
          </w:tcPr>
          <w:p w14:paraId="287AA190"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0.791</w:t>
            </w:r>
          </w:p>
        </w:tc>
      </w:tr>
      <w:tr w:rsidR="000327DF" w:rsidRPr="00751E33" w14:paraId="2CA778E1" w14:textId="77777777" w:rsidTr="00077CE6">
        <w:trPr>
          <w:trHeight w:val="330"/>
        </w:trPr>
        <w:tc>
          <w:tcPr>
            <w:tcW w:w="3369" w:type="pct"/>
            <w:tcBorders>
              <w:top w:val="nil"/>
              <w:left w:val="nil"/>
              <w:bottom w:val="nil"/>
              <w:right w:val="nil"/>
            </w:tcBorders>
            <w:shd w:val="clear" w:color="000000" w:fill="F2F2F2"/>
            <w:noWrap/>
            <w:vAlign w:val="bottom"/>
            <w:hideMark/>
          </w:tcPr>
          <w:p w14:paraId="00B543E0"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Date of symptom onset</w:t>
            </w:r>
            <w:r>
              <w:rPr>
                <w:rFonts w:ascii="Arial Narrow" w:eastAsia="Times New Roman" w:hAnsi="Arial Narrow" w:cs="Calibri"/>
                <w:color w:val="000000"/>
                <w:sz w:val="20"/>
                <w:szCs w:val="20"/>
              </w:rPr>
              <w:t xml:space="preserve"> (per day increase)</w:t>
            </w:r>
          </w:p>
        </w:tc>
        <w:tc>
          <w:tcPr>
            <w:tcW w:w="584" w:type="pct"/>
            <w:tcBorders>
              <w:top w:val="nil"/>
              <w:left w:val="nil"/>
              <w:bottom w:val="nil"/>
              <w:right w:val="nil"/>
            </w:tcBorders>
            <w:shd w:val="clear" w:color="000000" w:fill="F2F2F2"/>
            <w:vAlign w:val="bottom"/>
            <w:hideMark/>
          </w:tcPr>
          <w:p w14:paraId="44F98659"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0.001</w:t>
            </w:r>
          </w:p>
        </w:tc>
        <w:tc>
          <w:tcPr>
            <w:tcW w:w="438" w:type="pct"/>
            <w:tcBorders>
              <w:top w:val="nil"/>
              <w:left w:val="nil"/>
              <w:bottom w:val="nil"/>
              <w:right w:val="nil"/>
            </w:tcBorders>
            <w:shd w:val="clear" w:color="000000" w:fill="F2F2F2"/>
            <w:vAlign w:val="bottom"/>
            <w:hideMark/>
          </w:tcPr>
          <w:p w14:paraId="33A3D0FC"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0.000</w:t>
            </w:r>
          </w:p>
        </w:tc>
        <w:tc>
          <w:tcPr>
            <w:tcW w:w="608" w:type="pct"/>
            <w:tcBorders>
              <w:top w:val="nil"/>
              <w:left w:val="nil"/>
              <w:bottom w:val="nil"/>
              <w:right w:val="nil"/>
            </w:tcBorders>
            <w:shd w:val="clear" w:color="000000" w:fill="FFC7CE"/>
            <w:vAlign w:val="bottom"/>
            <w:hideMark/>
          </w:tcPr>
          <w:p w14:paraId="2E9531E2" w14:textId="77777777" w:rsidR="000327DF" w:rsidRDefault="000327DF" w:rsidP="00077CE6">
            <w:pPr>
              <w:spacing w:before="120" w:after="0" w:line="240" w:lineRule="auto"/>
              <w:ind w:left="340"/>
              <w:jc w:val="right"/>
              <w:rPr>
                <w:rFonts w:ascii="Arial Narrow" w:eastAsia="Times New Roman" w:hAnsi="Arial Narrow" w:cs="Calibri"/>
                <w:color w:val="9C0006"/>
                <w:sz w:val="20"/>
                <w:szCs w:val="20"/>
              </w:rPr>
            </w:pPr>
            <w:r>
              <w:rPr>
                <w:rFonts w:ascii="Arial Narrow" w:hAnsi="Arial Narrow" w:cs="Calibri"/>
                <w:color w:val="9C0006"/>
                <w:sz w:val="20"/>
                <w:szCs w:val="20"/>
              </w:rPr>
              <w:t>&lt;</w:t>
            </w:r>
            <w:r w:rsidRPr="00583B58">
              <w:rPr>
                <w:rFonts w:ascii="Arial Narrow" w:hAnsi="Arial Narrow" w:cs="Calibri"/>
                <w:color w:val="9C0006"/>
                <w:sz w:val="20"/>
                <w:szCs w:val="20"/>
              </w:rPr>
              <w:t>0.00</w:t>
            </w:r>
            <w:r>
              <w:rPr>
                <w:rFonts w:ascii="Arial Narrow" w:hAnsi="Arial Narrow" w:cs="Calibri"/>
                <w:color w:val="9C0006"/>
                <w:sz w:val="20"/>
                <w:szCs w:val="20"/>
              </w:rPr>
              <w:t>1</w:t>
            </w:r>
          </w:p>
        </w:tc>
      </w:tr>
      <w:tr w:rsidR="000327DF" w:rsidRPr="00751E33" w14:paraId="3E90F02E" w14:textId="77777777" w:rsidTr="00077CE6">
        <w:trPr>
          <w:trHeight w:val="330"/>
        </w:trPr>
        <w:tc>
          <w:tcPr>
            <w:tcW w:w="3369" w:type="pct"/>
            <w:tcBorders>
              <w:top w:val="nil"/>
              <w:left w:val="nil"/>
              <w:bottom w:val="nil"/>
              <w:right w:val="nil"/>
            </w:tcBorders>
            <w:shd w:val="clear" w:color="000000" w:fill="F2F2F2"/>
            <w:noWrap/>
            <w:vAlign w:val="bottom"/>
            <w:hideMark/>
          </w:tcPr>
          <w:p w14:paraId="2FD5180C"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Germany (vs. Canada)</w:t>
            </w:r>
          </w:p>
        </w:tc>
        <w:tc>
          <w:tcPr>
            <w:tcW w:w="584" w:type="pct"/>
            <w:tcBorders>
              <w:top w:val="nil"/>
              <w:left w:val="nil"/>
              <w:bottom w:val="nil"/>
              <w:right w:val="nil"/>
            </w:tcBorders>
            <w:shd w:val="clear" w:color="000000" w:fill="F2F2F2"/>
            <w:vAlign w:val="bottom"/>
            <w:hideMark/>
          </w:tcPr>
          <w:p w14:paraId="1D0842B4"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0.160</w:t>
            </w:r>
          </w:p>
        </w:tc>
        <w:tc>
          <w:tcPr>
            <w:tcW w:w="438" w:type="pct"/>
            <w:tcBorders>
              <w:top w:val="nil"/>
              <w:left w:val="nil"/>
              <w:bottom w:val="nil"/>
              <w:right w:val="nil"/>
            </w:tcBorders>
            <w:shd w:val="clear" w:color="000000" w:fill="F2F2F2"/>
            <w:vAlign w:val="bottom"/>
            <w:hideMark/>
          </w:tcPr>
          <w:p w14:paraId="60F3ABA9"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0.120</w:t>
            </w:r>
          </w:p>
        </w:tc>
        <w:tc>
          <w:tcPr>
            <w:tcW w:w="608" w:type="pct"/>
            <w:tcBorders>
              <w:top w:val="nil"/>
              <w:left w:val="nil"/>
              <w:bottom w:val="nil"/>
              <w:right w:val="nil"/>
            </w:tcBorders>
            <w:shd w:val="clear" w:color="000000" w:fill="F2F2F2"/>
            <w:vAlign w:val="bottom"/>
            <w:hideMark/>
          </w:tcPr>
          <w:p w14:paraId="7F0D5C0A"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0.186</w:t>
            </w:r>
          </w:p>
        </w:tc>
      </w:tr>
      <w:tr w:rsidR="000327DF" w:rsidRPr="00751E33" w14:paraId="45F77210" w14:textId="77777777" w:rsidTr="00077CE6">
        <w:trPr>
          <w:trHeight w:val="330"/>
        </w:trPr>
        <w:tc>
          <w:tcPr>
            <w:tcW w:w="3369" w:type="pct"/>
            <w:tcBorders>
              <w:top w:val="nil"/>
              <w:left w:val="nil"/>
              <w:bottom w:val="nil"/>
              <w:right w:val="nil"/>
            </w:tcBorders>
            <w:shd w:val="clear" w:color="000000" w:fill="F2F2F2"/>
            <w:noWrap/>
            <w:vAlign w:val="bottom"/>
            <w:hideMark/>
          </w:tcPr>
          <w:p w14:paraId="595AFAFD"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France (vs. Canada)</w:t>
            </w:r>
          </w:p>
        </w:tc>
        <w:tc>
          <w:tcPr>
            <w:tcW w:w="584" w:type="pct"/>
            <w:tcBorders>
              <w:top w:val="nil"/>
              <w:left w:val="nil"/>
              <w:bottom w:val="nil"/>
              <w:right w:val="nil"/>
            </w:tcBorders>
            <w:shd w:val="clear" w:color="000000" w:fill="F2F2F2"/>
            <w:vAlign w:val="bottom"/>
            <w:hideMark/>
          </w:tcPr>
          <w:p w14:paraId="125B936E"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0.201</w:t>
            </w:r>
          </w:p>
        </w:tc>
        <w:tc>
          <w:tcPr>
            <w:tcW w:w="438" w:type="pct"/>
            <w:tcBorders>
              <w:top w:val="nil"/>
              <w:left w:val="nil"/>
              <w:bottom w:val="nil"/>
              <w:right w:val="nil"/>
            </w:tcBorders>
            <w:shd w:val="clear" w:color="000000" w:fill="F2F2F2"/>
            <w:vAlign w:val="bottom"/>
            <w:hideMark/>
          </w:tcPr>
          <w:p w14:paraId="5E339C6E"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0.134</w:t>
            </w:r>
          </w:p>
        </w:tc>
        <w:tc>
          <w:tcPr>
            <w:tcW w:w="608" w:type="pct"/>
            <w:tcBorders>
              <w:top w:val="nil"/>
              <w:left w:val="nil"/>
              <w:bottom w:val="nil"/>
              <w:right w:val="nil"/>
            </w:tcBorders>
            <w:shd w:val="clear" w:color="000000" w:fill="F2F2F2"/>
            <w:vAlign w:val="bottom"/>
            <w:hideMark/>
          </w:tcPr>
          <w:p w14:paraId="7D050E03"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0.138</w:t>
            </w:r>
          </w:p>
        </w:tc>
      </w:tr>
      <w:tr w:rsidR="000327DF" w:rsidRPr="00751E33" w14:paraId="231EF5D0" w14:textId="77777777" w:rsidTr="00077CE6">
        <w:trPr>
          <w:trHeight w:val="330"/>
        </w:trPr>
        <w:tc>
          <w:tcPr>
            <w:tcW w:w="3369" w:type="pct"/>
            <w:tcBorders>
              <w:top w:val="nil"/>
              <w:left w:val="nil"/>
              <w:bottom w:val="nil"/>
              <w:right w:val="nil"/>
            </w:tcBorders>
            <w:shd w:val="clear" w:color="000000" w:fill="F2F2F2"/>
            <w:noWrap/>
            <w:vAlign w:val="bottom"/>
            <w:hideMark/>
          </w:tcPr>
          <w:p w14:paraId="40DFBC16"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UK (vs. Canada)</w:t>
            </w:r>
          </w:p>
        </w:tc>
        <w:tc>
          <w:tcPr>
            <w:tcW w:w="584" w:type="pct"/>
            <w:tcBorders>
              <w:top w:val="nil"/>
              <w:left w:val="nil"/>
              <w:bottom w:val="nil"/>
              <w:right w:val="nil"/>
            </w:tcBorders>
            <w:shd w:val="clear" w:color="000000" w:fill="F2F2F2"/>
            <w:vAlign w:val="bottom"/>
            <w:hideMark/>
          </w:tcPr>
          <w:p w14:paraId="623F5D86"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0.094</w:t>
            </w:r>
          </w:p>
        </w:tc>
        <w:tc>
          <w:tcPr>
            <w:tcW w:w="438" w:type="pct"/>
            <w:tcBorders>
              <w:top w:val="nil"/>
              <w:left w:val="nil"/>
              <w:bottom w:val="nil"/>
              <w:right w:val="nil"/>
            </w:tcBorders>
            <w:shd w:val="clear" w:color="000000" w:fill="F2F2F2"/>
            <w:vAlign w:val="bottom"/>
            <w:hideMark/>
          </w:tcPr>
          <w:p w14:paraId="33F3CD19"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0.104</w:t>
            </w:r>
          </w:p>
        </w:tc>
        <w:tc>
          <w:tcPr>
            <w:tcW w:w="608" w:type="pct"/>
            <w:tcBorders>
              <w:top w:val="nil"/>
              <w:left w:val="nil"/>
              <w:bottom w:val="nil"/>
              <w:right w:val="nil"/>
            </w:tcBorders>
            <w:shd w:val="clear" w:color="000000" w:fill="F2F2F2"/>
            <w:vAlign w:val="bottom"/>
            <w:hideMark/>
          </w:tcPr>
          <w:p w14:paraId="2B1015BE"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0.366</w:t>
            </w:r>
          </w:p>
        </w:tc>
      </w:tr>
      <w:tr w:rsidR="000327DF" w:rsidRPr="00751E33" w14:paraId="41F93A10" w14:textId="77777777" w:rsidTr="00077CE6">
        <w:trPr>
          <w:trHeight w:val="330"/>
        </w:trPr>
        <w:tc>
          <w:tcPr>
            <w:tcW w:w="3369" w:type="pct"/>
            <w:tcBorders>
              <w:top w:val="nil"/>
              <w:left w:val="nil"/>
              <w:right w:val="nil"/>
            </w:tcBorders>
            <w:shd w:val="clear" w:color="auto" w:fill="auto"/>
            <w:noWrap/>
            <w:vAlign w:val="bottom"/>
            <w:hideMark/>
          </w:tcPr>
          <w:p w14:paraId="75C8F397"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Date of symptom onset</w:t>
            </w:r>
            <w:r>
              <w:rPr>
                <w:rFonts w:ascii="Arial Narrow" w:eastAsia="Times New Roman" w:hAnsi="Arial Narrow" w:cs="Calibri"/>
                <w:color w:val="000000"/>
                <w:sz w:val="20"/>
                <w:szCs w:val="20"/>
              </w:rPr>
              <w:t xml:space="preserve"> (per day increase)</w:t>
            </w:r>
          </w:p>
        </w:tc>
        <w:tc>
          <w:tcPr>
            <w:tcW w:w="584" w:type="pct"/>
            <w:tcBorders>
              <w:top w:val="nil"/>
              <w:left w:val="nil"/>
              <w:right w:val="nil"/>
            </w:tcBorders>
            <w:shd w:val="clear" w:color="auto" w:fill="auto"/>
            <w:vAlign w:val="bottom"/>
            <w:hideMark/>
          </w:tcPr>
          <w:p w14:paraId="3935EF8D"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0.000</w:t>
            </w:r>
          </w:p>
        </w:tc>
        <w:tc>
          <w:tcPr>
            <w:tcW w:w="438" w:type="pct"/>
            <w:tcBorders>
              <w:top w:val="nil"/>
              <w:left w:val="nil"/>
              <w:right w:val="nil"/>
            </w:tcBorders>
            <w:shd w:val="clear" w:color="auto" w:fill="auto"/>
            <w:vAlign w:val="bottom"/>
            <w:hideMark/>
          </w:tcPr>
          <w:p w14:paraId="6533CC43"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0.000</w:t>
            </w:r>
          </w:p>
        </w:tc>
        <w:tc>
          <w:tcPr>
            <w:tcW w:w="608" w:type="pct"/>
            <w:tcBorders>
              <w:top w:val="nil"/>
              <w:left w:val="nil"/>
              <w:right w:val="nil"/>
            </w:tcBorders>
            <w:shd w:val="clear" w:color="000000" w:fill="FFC7CE"/>
            <w:vAlign w:val="bottom"/>
            <w:hideMark/>
          </w:tcPr>
          <w:p w14:paraId="0F301097" w14:textId="77777777" w:rsidR="000327DF" w:rsidRDefault="000327DF" w:rsidP="00077CE6">
            <w:pPr>
              <w:spacing w:before="120" w:after="0" w:line="240" w:lineRule="auto"/>
              <w:ind w:left="340"/>
              <w:jc w:val="right"/>
              <w:rPr>
                <w:rFonts w:ascii="Arial Narrow" w:eastAsia="Times New Roman" w:hAnsi="Arial Narrow" w:cs="Calibri"/>
                <w:color w:val="9C0006"/>
                <w:sz w:val="20"/>
                <w:szCs w:val="20"/>
              </w:rPr>
            </w:pPr>
            <w:r>
              <w:rPr>
                <w:rFonts w:ascii="Arial Narrow" w:hAnsi="Arial Narrow" w:cs="Calibri"/>
                <w:color w:val="9C0006"/>
                <w:sz w:val="20"/>
                <w:szCs w:val="20"/>
              </w:rPr>
              <w:t>&lt;</w:t>
            </w:r>
            <w:r w:rsidRPr="00583B58">
              <w:rPr>
                <w:rFonts w:ascii="Arial Narrow" w:hAnsi="Arial Narrow" w:cs="Calibri"/>
                <w:color w:val="9C0006"/>
                <w:sz w:val="20"/>
                <w:szCs w:val="20"/>
              </w:rPr>
              <w:t>0.00</w:t>
            </w:r>
            <w:r>
              <w:rPr>
                <w:rFonts w:ascii="Arial Narrow" w:hAnsi="Arial Narrow" w:cs="Calibri"/>
                <w:color w:val="9C0006"/>
                <w:sz w:val="20"/>
                <w:szCs w:val="20"/>
              </w:rPr>
              <w:t>1</w:t>
            </w:r>
          </w:p>
        </w:tc>
      </w:tr>
      <w:tr w:rsidR="000327DF" w:rsidRPr="00751E33" w14:paraId="324ECEA4" w14:textId="77777777" w:rsidTr="00077CE6">
        <w:trPr>
          <w:trHeight w:val="330"/>
        </w:trPr>
        <w:tc>
          <w:tcPr>
            <w:tcW w:w="3369" w:type="pct"/>
            <w:tcBorders>
              <w:top w:val="nil"/>
              <w:left w:val="nil"/>
              <w:bottom w:val="single" w:sz="4" w:space="0" w:color="auto"/>
              <w:right w:val="nil"/>
            </w:tcBorders>
            <w:shd w:val="clear" w:color="auto" w:fill="auto"/>
            <w:noWrap/>
            <w:vAlign w:val="bottom"/>
            <w:hideMark/>
          </w:tcPr>
          <w:p w14:paraId="11353D0D" w14:textId="77777777" w:rsidR="000327DF" w:rsidRPr="00751E33" w:rsidRDefault="000327DF" w:rsidP="00077CE6">
            <w:pPr>
              <w:spacing w:after="0" w:line="240" w:lineRule="auto"/>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Weight</w:t>
            </w:r>
            <w:r>
              <w:rPr>
                <w:rFonts w:ascii="Arial Narrow" w:eastAsia="Times New Roman" w:hAnsi="Arial Narrow" w:cs="Calibri"/>
                <w:color w:val="000000"/>
                <w:sz w:val="20"/>
                <w:szCs w:val="20"/>
              </w:rPr>
              <w:t xml:space="preserve"> (per kg increase)</w:t>
            </w:r>
          </w:p>
        </w:tc>
        <w:tc>
          <w:tcPr>
            <w:tcW w:w="584" w:type="pct"/>
            <w:tcBorders>
              <w:top w:val="nil"/>
              <w:left w:val="nil"/>
              <w:bottom w:val="single" w:sz="4" w:space="0" w:color="auto"/>
              <w:right w:val="nil"/>
            </w:tcBorders>
            <w:shd w:val="clear" w:color="auto" w:fill="auto"/>
            <w:vAlign w:val="bottom"/>
            <w:hideMark/>
          </w:tcPr>
          <w:p w14:paraId="4273C8E8"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0.004</w:t>
            </w:r>
          </w:p>
        </w:tc>
        <w:tc>
          <w:tcPr>
            <w:tcW w:w="438" w:type="pct"/>
            <w:tcBorders>
              <w:top w:val="nil"/>
              <w:left w:val="nil"/>
              <w:bottom w:val="single" w:sz="4" w:space="0" w:color="auto"/>
              <w:right w:val="nil"/>
            </w:tcBorders>
            <w:shd w:val="clear" w:color="auto" w:fill="auto"/>
            <w:vAlign w:val="bottom"/>
            <w:hideMark/>
          </w:tcPr>
          <w:p w14:paraId="6EEF340F" w14:textId="77777777" w:rsidR="000327DF" w:rsidRDefault="000327DF" w:rsidP="00077CE6">
            <w:pPr>
              <w:spacing w:before="120" w:after="0" w:line="240" w:lineRule="auto"/>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0.003</w:t>
            </w:r>
          </w:p>
        </w:tc>
        <w:tc>
          <w:tcPr>
            <w:tcW w:w="608" w:type="pct"/>
            <w:tcBorders>
              <w:top w:val="nil"/>
              <w:left w:val="nil"/>
              <w:bottom w:val="single" w:sz="4" w:space="0" w:color="auto"/>
              <w:right w:val="nil"/>
            </w:tcBorders>
            <w:shd w:val="clear" w:color="auto" w:fill="auto"/>
            <w:vAlign w:val="bottom"/>
            <w:hideMark/>
          </w:tcPr>
          <w:p w14:paraId="69AD2419" w14:textId="77777777" w:rsidR="000327DF" w:rsidRDefault="000327DF" w:rsidP="00077CE6">
            <w:pPr>
              <w:spacing w:before="120" w:after="0" w:line="240" w:lineRule="auto"/>
              <w:ind w:left="340"/>
              <w:jc w:val="right"/>
              <w:rPr>
                <w:rFonts w:ascii="Arial Narrow" w:eastAsia="Times New Roman" w:hAnsi="Arial Narrow" w:cs="Calibri"/>
                <w:color w:val="000000"/>
                <w:sz w:val="20"/>
                <w:szCs w:val="20"/>
              </w:rPr>
            </w:pPr>
            <w:r w:rsidRPr="005E3016">
              <w:rPr>
                <w:rFonts w:ascii="Arial Narrow" w:eastAsia="Times New Roman" w:hAnsi="Arial Narrow" w:cs="Calibri"/>
                <w:color w:val="000000"/>
                <w:sz w:val="20"/>
                <w:szCs w:val="20"/>
              </w:rPr>
              <w:t>0.266</w:t>
            </w:r>
          </w:p>
        </w:tc>
      </w:tr>
    </w:tbl>
    <w:p w14:paraId="145A3136" w14:textId="77777777" w:rsidR="000327DF" w:rsidRPr="00F3179C" w:rsidRDefault="000327DF" w:rsidP="000327DF">
      <w:pPr>
        <w:pStyle w:val="BodyTextIndent"/>
        <w:ind w:left="0"/>
        <w:rPr>
          <w:rFonts w:ascii="Arial Narrow" w:hAnsi="Arial Narrow"/>
          <w:i/>
          <w:sz w:val="18"/>
          <w:szCs w:val="18"/>
        </w:rPr>
      </w:pPr>
      <w:r>
        <w:rPr>
          <w:rFonts w:ascii="Arial Narrow" w:hAnsi="Arial Narrow"/>
          <w:i/>
          <w:iCs/>
          <w:sz w:val="18"/>
          <w:szCs w:val="18"/>
        </w:rPr>
        <w:t>Abbreviations: HRCT = high resolution computed tomography; SE = standard error; UK</w:t>
      </w:r>
      <w:r w:rsidRPr="00F3179C">
        <w:rPr>
          <w:rFonts w:ascii="Arial Narrow" w:hAnsi="Arial Narrow"/>
          <w:i/>
          <w:iCs/>
          <w:sz w:val="18"/>
          <w:szCs w:val="18"/>
        </w:rPr>
        <w:t xml:space="preserve"> = </w:t>
      </w:r>
      <w:r>
        <w:rPr>
          <w:rFonts w:ascii="Arial Narrow" w:hAnsi="Arial Narrow"/>
          <w:i/>
          <w:iCs/>
          <w:sz w:val="18"/>
          <w:szCs w:val="18"/>
        </w:rPr>
        <w:t>United Kingdom; vs. = versus</w:t>
      </w:r>
    </w:p>
    <w:p w14:paraId="631EB0F8" w14:textId="77777777" w:rsidR="000327DF" w:rsidRDefault="000327DF" w:rsidP="000327DF"/>
    <w:p w14:paraId="2B77F775" w14:textId="77777777" w:rsidR="000327DF" w:rsidRPr="00D83E99" w:rsidRDefault="000327DF" w:rsidP="000327DF">
      <w:pPr>
        <w:spacing w:line="480" w:lineRule="auto"/>
        <w:rPr>
          <w:rFonts w:ascii="Arial Narrow" w:hAnsi="Arial Narrow"/>
          <w:i/>
          <w:sz w:val="16"/>
          <w:szCs w:val="16"/>
        </w:rPr>
      </w:pPr>
    </w:p>
    <w:p w14:paraId="52ECBC70" w14:textId="77777777" w:rsidR="00683D41" w:rsidRDefault="00683D41"/>
    <w:sectPr w:rsidR="00683D41" w:rsidSect="00C42DC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3D48" w14:textId="77777777" w:rsidR="008E75D1" w:rsidRDefault="008E75D1" w:rsidP="00A2460D">
      <w:pPr>
        <w:spacing w:after="0" w:line="240" w:lineRule="auto"/>
      </w:pPr>
      <w:r>
        <w:separator/>
      </w:r>
    </w:p>
  </w:endnote>
  <w:endnote w:type="continuationSeparator" w:id="0">
    <w:p w14:paraId="6520B984" w14:textId="77777777" w:rsidR="008E75D1" w:rsidRDefault="008E75D1" w:rsidP="00A2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DC58" w14:textId="1F7D11FF" w:rsidR="00A2460D" w:rsidRPr="00A2460D" w:rsidRDefault="00A2460D">
    <w:pPr>
      <w:pStyle w:val="Footer"/>
      <w:rPr>
        <w:rFonts w:ascii="Arial" w:hAnsi="Arial" w:cs="Arial"/>
        <w:i/>
        <w:color w:val="808080" w:themeColor="background1" w:themeShade="80"/>
      </w:rPr>
    </w:pPr>
    <w:r w:rsidRPr="000F4071">
      <w:rPr>
        <w:rFonts w:ascii="Arial" w:hAnsi="Arial" w:cs="Arial"/>
        <w:i/>
        <w:color w:val="808080" w:themeColor="background1" w:themeShade="80"/>
      </w:rPr>
      <w:t xml:space="preserve">Goring et al. </w:t>
    </w:r>
    <w:r w:rsidR="00772894">
      <w:rPr>
        <w:rFonts w:ascii="Arial" w:hAnsi="Arial" w:cs="Arial"/>
        <w:i/>
        <w:color w:val="808080" w:themeColor="background1" w:themeShade="80"/>
      </w:rPr>
      <w:t>Additional file</w:t>
    </w:r>
    <w:r w:rsidRPr="000F4071">
      <w:rPr>
        <w:rFonts w:ascii="Arial" w:hAnsi="Arial" w:cs="Arial"/>
        <w:i/>
        <w:color w:val="808080" w:themeColor="background1" w:themeShade="80"/>
      </w:rPr>
      <w:t xml:space="preserve"> </w:t>
    </w:r>
    <w:r>
      <w:rPr>
        <w:rFonts w:ascii="Arial" w:hAnsi="Arial" w:cs="Arial"/>
        <w:i/>
        <w:color w:val="808080" w:themeColor="background1" w:themeShade="80"/>
      </w:rPr>
      <w:t>4</w:t>
    </w:r>
    <w:r>
      <w:rPr>
        <w:rFonts w:ascii="Arial" w:hAnsi="Arial" w:cs="Arial"/>
        <w:i/>
        <w:color w:val="808080" w:themeColor="background1" w:themeShade="80"/>
      </w:rPr>
      <w:tab/>
    </w:r>
    <w:r>
      <w:rPr>
        <w:rFonts w:ascii="Arial" w:hAnsi="Arial" w:cs="Arial"/>
        <w:i/>
        <w:color w:val="808080" w:themeColor="background1" w:themeShade="80"/>
      </w:rPr>
      <w:tab/>
    </w:r>
    <w:r w:rsidRPr="00A2460D">
      <w:rPr>
        <w:rFonts w:ascii="Arial" w:hAnsi="Arial" w:cs="Arial"/>
        <w:i/>
        <w:color w:val="808080" w:themeColor="background1" w:themeShade="80"/>
      </w:rPr>
      <w:fldChar w:fldCharType="begin"/>
    </w:r>
    <w:r w:rsidRPr="00A2460D">
      <w:rPr>
        <w:rFonts w:ascii="Arial" w:hAnsi="Arial" w:cs="Arial"/>
        <w:i/>
        <w:color w:val="808080" w:themeColor="background1" w:themeShade="80"/>
      </w:rPr>
      <w:instrText xml:space="preserve"> PAGE   \* MERGEFORMAT </w:instrText>
    </w:r>
    <w:r w:rsidRPr="00A2460D">
      <w:rPr>
        <w:rFonts w:ascii="Arial" w:hAnsi="Arial" w:cs="Arial"/>
        <w:i/>
        <w:color w:val="808080" w:themeColor="background1" w:themeShade="80"/>
      </w:rPr>
      <w:fldChar w:fldCharType="separate"/>
    </w:r>
    <w:r w:rsidR="00013111">
      <w:rPr>
        <w:rFonts w:ascii="Arial" w:hAnsi="Arial" w:cs="Arial"/>
        <w:i/>
        <w:noProof/>
        <w:color w:val="808080" w:themeColor="background1" w:themeShade="80"/>
      </w:rPr>
      <w:t>1</w:t>
    </w:r>
    <w:r w:rsidRPr="00A2460D">
      <w:rPr>
        <w:rFonts w:ascii="Arial" w:hAnsi="Arial" w:cs="Arial"/>
        <w:i/>
        <w:noProof/>
        <w:color w:val="808080" w:themeColor="background1" w:themeShade="80"/>
      </w:rPr>
      <w:fldChar w:fldCharType="end"/>
    </w:r>
    <w:r w:rsidRPr="000F4071">
      <w:rPr>
        <w:rFonts w:ascii="Arial" w:hAnsi="Arial" w:cs="Arial"/>
        <w:i/>
        <w:color w:val="808080" w:themeColor="background1" w:themeShade="80"/>
      </w:rPr>
      <w:tab/>
    </w:r>
    <w:r w:rsidRPr="000F4071">
      <w:rPr>
        <w:rFonts w:ascii="Arial" w:hAnsi="Arial" w:cs="Arial"/>
        <w:color w:val="808080" w:themeColor="background1" w:themeShade="80"/>
      </w:rPr>
      <w:tab/>
    </w:r>
    <w:r w:rsidRPr="000F4071">
      <w:rPr>
        <w:rFonts w:ascii="Arial" w:hAnsi="Arial" w:cs="Arial"/>
        <w:color w:val="808080" w:themeColor="background1" w:themeShade="80"/>
      </w:rPr>
      <w:tab/>
    </w:r>
    <w:r w:rsidRPr="000F4071">
      <w:rPr>
        <w:rFonts w:ascii="Arial" w:hAnsi="Arial" w:cs="Arial"/>
        <w:color w:val="808080" w:themeColor="background1" w:themeShade="80"/>
      </w:rPr>
      <w:tab/>
    </w:r>
    <w:r w:rsidRPr="000F4071">
      <w:rPr>
        <w:rFonts w:ascii="Arial" w:hAnsi="Arial" w:cs="Arial"/>
        <w:color w:val="808080" w:themeColor="background1" w:themeShade="80"/>
      </w:rPr>
      <w:tab/>
    </w:r>
    <w:r w:rsidRPr="000F4071">
      <w:rPr>
        <w:rFonts w:ascii="Arial" w:hAnsi="Arial" w:cs="Arial"/>
        <w:color w:val="808080" w:themeColor="background1" w:themeShade="80"/>
      </w:rPr>
      <w:tab/>
    </w:r>
    <w:r w:rsidRPr="000F4071">
      <w:rPr>
        <w:rFonts w:ascii="Arial" w:hAnsi="Arial" w:cs="Arial"/>
        <w:color w:val="808080" w:themeColor="background1" w:themeShade="80"/>
      </w:rPr>
      <w:tab/>
    </w:r>
    <w:r w:rsidRPr="000F4071">
      <w:rPr>
        <w:rFonts w:ascii="Arial" w:hAnsi="Arial" w:cs="Arial"/>
        <w:color w:val="808080" w:themeColor="background1" w:themeShade="80"/>
      </w:rPr>
      <w:tab/>
    </w:r>
    <w:r w:rsidRPr="000F4071">
      <w:rPr>
        <w:rFonts w:ascii="Arial" w:hAnsi="Arial" w:cs="Arial"/>
        <w:color w:val="808080" w:themeColor="background1" w:themeShade="80"/>
      </w:rPr>
      <w:tab/>
    </w:r>
    <w:r w:rsidRPr="000F4071">
      <w:rPr>
        <w:rFonts w:ascii="Arial" w:hAnsi="Arial" w:cs="Arial"/>
        <w:color w:val="808080" w:themeColor="background1" w:themeShade="80"/>
      </w:rPr>
      <w:tab/>
    </w:r>
    <w:r w:rsidRPr="000F4071">
      <w:rPr>
        <w:rFonts w:ascii="Arial" w:hAnsi="Arial" w:cs="Arial"/>
        <w:color w:val="808080" w:themeColor="background1" w:themeShade="80"/>
      </w:rPr>
      <w:fldChar w:fldCharType="begin"/>
    </w:r>
    <w:r w:rsidRPr="000F4071">
      <w:rPr>
        <w:rFonts w:ascii="Arial" w:hAnsi="Arial" w:cs="Arial"/>
        <w:color w:val="808080" w:themeColor="background1" w:themeShade="80"/>
      </w:rPr>
      <w:instrText xml:space="preserve"> PAGE   \* MERGEFORMAT </w:instrText>
    </w:r>
    <w:r w:rsidRPr="000F4071">
      <w:rPr>
        <w:rFonts w:ascii="Arial" w:hAnsi="Arial" w:cs="Arial"/>
        <w:color w:val="808080" w:themeColor="background1" w:themeShade="80"/>
      </w:rPr>
      <w:fldChar w:fldCharType="separate"/>
    </w:r>
    <w:r w:rsidR="00013111">
      <w:rPr>
        <w:rFonts w:ascii="Arial" w:hAnsi="Arial" w:cs="Arial"/>
        <w:noProof/>
        <w:color w:val="808080" w:themeColor="background1" w:themeShade="80"/>
      </w:rPr>
      <w:t>1</w:t>
    </w:r>
    <w:r w:rsidRPr="000F4071">
      <w:rPr>
        <w:rFonts w:ascii="Arial" w:hAnsi="Arial" w:cs="Arial"/>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725A" w14:textId="77777777" w:rsidR="008E75D1" w:rsidRDefault="008E75D1" w:rsidP="00A2460D">
      <w:pPr>
        <w:spacing w:after="0" w:line="240" w:lineRule="auto"/>
      </w:pPr>
      <w:r>
        <w:separator/>
      </w:r>
    </w:p>
  </w:footnote>
  <w:footnote w:type="continuationSeparator" w:id="0">
    <w:p w14:paraId="36DA4800" w14:textId="77777777" w:rsidR="008E75D1" w:rsidRDefault="008E75D1" w:rsidP="00A24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otal_Editing_Time" w:val="3"/>
  </w:docVars>
  <w:rsids>
    <w:rsidRoot w:val="000327DF"/>
    <w:rsid w:val="00013111"/>
    <w:rsid w:val="000327DF"/>
    <w:rsid w:val="00081EEF"/>
    <w:rsid w:val="002D08CF"/>
    <w:rsid w:val="003B6A2D"/>
    <w:rsid w:val="003E431D"/>
    <w:rsid w:val="004C66D5"/>
    <w:rsid w:val="004E0DCA"/>
    <w:rsid w:val="0055472B"/>
    <w:rsid w:val="0059480F"/>
    <w:rsid w:val="00647AEC"/>
    <w:rsid w:val="00683D41"/>
    <w:rsid w:val="00772894"/>
    <w:rsid w:val="007E69D8"/>
    <w:rsid w:val="008E75D1"/>
    <w:rsid w:val="00A2460D"/>
    <w:rsid w:val="00AE190D"/>
    <w:rsid w:val="00C4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AA17"/>
  <w15:docId w15:val="{C7B41D02-CE82-4EB3-AF3D-F9D9A79A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7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aliases w:val="~Caption Char"/>
    <w:link w:val="Caption"/>
    <w:locked/>
    <w:rsid w:val="000327DF"/>
    <w:rPr>
      <w:rFonts w:ascii="Arial" w:eastAsia="Calibri" w:hAnsi="Arial" w:cs="System"/>
      <w:i/>
      <w:color w:val="56565A"/>
      <w:szCs w:val="21"/>
      <w:lang w:val="en-GB"/>
    </w:rPr>
  </w:style>
  <w:style w:type="paragraph" w:styleId="Caption">
    <w:name w:val="caption"/>
    <w:aliases w:val="~Caption"/>
    <w:basedOn w:val="Normal"/>
    <w:next w:val="Normal"/>
    <w:link w:val="CaptionChar"/>
    <w:unhideWhenUsed/>
    <w:qFormat/>
    <w:rsid w:val="000327DF"/>
    <w:pPr>
      <w:keepNext/>
      <w:tabs>
        <w:tab w:val="left" w:pos="1134"/>
      </w:tabs>
      <w:spacing w:before="180" w:after="60"/>
      <w:ind w:left="1134" w:hanging="1134"/>
    </w:pPr>
    <w:rPr>
      <w:rFonts w:ascii="Arial" w:eastAsia="Calibri" w:hAnsi="Arial" w:cs="System"/>
      <w:i/>
      <w:color w:val="56565A"/>
      <w:szCs w:val="21"/>
      <w:lang w:val="en-GB"/>
    </w:rPr>
  </w:style>
  <w:style w:type="paragraph" w:styleId="BodyTextIndent">
    <w:name w:val="Body Text Indent"/>
    <w:basedOn w:val="Normal"/>
    <w:link w:val="BodyTextIndentChar"/>
    <w:uiPriority w:val="99"/>
    <w:unhideWhenUsed/>
    <w:rsid w:val="000327DF"/>
    <w:pPr>
      <w:spacing w:after="120" w:line="240" w:lineRule="auto"/>
      <w:ind w:left="360"/>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rsid w:val="000327DF"/>
    <w:rPr>
      <w:rFonts w:ascii="Arial" w:eastAsia="Times New Roman" w:hAnsi="Arial" w:cs="Times New Roman"/>
      <w:szCs w:val="24"/>
    </w:rPr>
  </w:style>
  <w:style w:type="character" w:styleId="LineNumber">
    <w:name w:val="line number"/>
    <w:basedOn w:val="DefaultParagraphFont"/>
    <w:uiPriority w:val="99"/>
    <w:semiHidden/>
    <w:unhideWhenUsed/>
    <w:rsid w:val="000327DF"/>
  </w:style>
  <w:style w:type="paragraph" w:styleId="Header">
    <w:name w:val="header"/>
    <w:basedOn w:val="Normal"/>
    <w:link w:val="HeaderChar"/>
    <w:uiPriority w:val="99"/>
    <w:unhideWhenUsed/>
    <w:rsid w:val="00A24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60D"/>
    <w:rPr>
      <w:rFonts w:eastAsiaTheme="minorEastAsia"/>
    </w:rPr>
  </w:style>
  <w:style w:type="paragraph" w:styleId="Footer">
    <w:name w:val="footer"/>
    <w:aliases w:val="~Footer"/>
    <w:basedOn w:val="Normal"/>
    <w:link w:val="FooterChar"/>
    <w:uiPriority w:val="36"/>
    <w:unhideWhenUsed/>
    <w:rsid w:val="00A2460D"/>
    <w:pPr>
      <w:tabs>
        <w:tab w:val="center" w:pos="4680"/>
        <w:tab w:val="right" w:pos="9360"/>
      </w:tabs>
      <w:spacing w:after="0" w:line="240" w:lineRule="auto"/>
    </w:pPr>
  </w:style>
  <w:style w:type="character" w:customStyle="1" w:styleId="FooterChar">
    <w:name w:val="Footer Char"/>
    <w:aliases w:val="~Footer Char"/>
    <w:basedOn w:val="DefaultParagraphFont"/>
    <w:link w:val="Footer"/>
    <w:uiPriority w:val="36"/>
    <w:rsid w:val="00A2460D"/>
    <w:rPr>
      <w:rFonts w:eastAsiaTheme="minorEastAsia"/>
    </w:rPr>
  </w:style>
  <w:style w:type="paragraph" w:styleId="BalloonText">
    <w:name w:val="Balloon Text"/>
    <w:basedOn w:val="Normal"/>
    <w:link w:val="BalloonTextChar"/>
    <w:uiPriority w:val="99"/>
    <w:semiHidden/>
    <w:unhideWhenUsed/>
    <w:rsid w:val="003B6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2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Goring</dc:creator>
  <cp:keywords/>
  <dc:description/>
  <cp:lastModifiedBy>Sarah Goring</cp:lastModifiedBy>
  <cp:revision>7</cp:revision>
  <dcterms:created xsi:type="dcterms:W3CDTF">2018-05-30T20:52:00Z</dcterms:created>
  <dcterms:modified xsi:type="dcterms:W3CDTF">2018-09-05T22:06:00Z</dcterms:modified>
</cp:coreProperties>
</file>