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0A0" w14:textId="67D5F71B" w:rsidR="001E4E09" w:rsidRDefault="000233D7">
      <w:r w:rsidRPr="00A70D5C">
        <w:t>Additional file</w:t>
      </w:r>
      <w:r>
        <w:t xml:space="preserve"> 7</w:t>
      </w:r>
      <w:bookmarkStart w:id="0" w:name="_GoBack"/>
      <w:bookmarkEnd w:id="0"/>
      <w:r w:rsidR="00FD501A">
        <w:t xml:space="preserve"> – regression model for total number of contacts</w:t>
      </w:r>
    </w:p>
    <w:p w14:paraId="43632867" w14:textId="4E11D5E7" w:rsidR="00FD501A" w:rsidRDefault="00FD501A"/>
    <w:p w14:paraId="1D47DAA2" w14:textId="0B1B45C7" w:rsidR="00FD501A" w:rsidRDefault="00FD501A">
      <w:r>
        <w:t>Methods</w:t>
      </w:r>
    </w:p>
    <w:p w14:paraId="151C37F1" w14:textId="785666E5" w:rsidR="00FD501A" w:rsidRDefault="00FD501A">
      <w:r w:rsidRPr="00FD501A">
        <w:t xml:space="preserve">We tested </w:t>
      </w:r>
      <w:r>
        <w:t xml:space="preserve">the association of variables with total number of contacts per individual using negative binomial regression because of the heavy tailed distribution which showed over-dispersion. </w:t>
      </w:r>
      <w:r w:rsidRPr="00FD501A">
        <w:t xml:space="preserve">Analysis was carried out on a dataset including all patients. We included </w:t>
      </w:r>
      <w:r>
        <w:t>the same variables as for the main regression in the model (Shannon entropy, patient age and sex and whether any consultation was for a mental health problem)</w:t>
      </w:r>
      <w:r w:rsidR="003D41EF">
        <w:t xml:space="preserve"> and ran models including and excluding the number of RfE categories</w:t>
      </w:r>
      <w:r>
        <w:t>. We reported the results as Incidence Rate Ratio: the exponentiate</w:t>
      </w:r>
      <w:r w:rsidR="003D41EF">
        <w:t>d coefficient for each variable with 95% confidence intervals.</w:t>
      </w:r>
    </w:p>
    <w:p w14:paraId="2A1C5688" w14:textId="77777777" w:rsidR="00FD501A" w:rsidRDefault="00FD501A"/>
    <w:p w14:paraId="3F534C38" w14:textId="7296FC68" w:rsidR="00FD501A" w:rsidRDefault="00FD501A">
      <w:r>
        <w:t>Results</w:t>
      </w:r>
    </w:p>
    <w:p w14:paraId="255E1612" w14:textId="0E02DDD5" w:rsidR="00FD501A" w:rsidRDefault="003D41EF">
      <w:r>
        <w:t>Number of RfE categories was the strongest predictor of total number of contacts</w:t>
      </w:r>
      <w:r w:rsidR="002369FC">
        <w:t xml:space="preserve"> as shown in Supplementary Table 5</w:t>
      </w:r>
      <w:r>
        <w:t>. To some extent this is unsurprising</w:t>
      </w:r>
      <w:r w:rsidR="002369FC">
        <w:t xml:space="preserve">, as </w:t>
      </w:r>
      <w:r>
        <w:t>a high number of categories requ</w:t>
      </w:r>
      <w:r w:rsidR="002369FC">
        <w:t xml:space="preserve">ired a high number of contacts. The IRR &lt;1 for Shannon entropy in supplementary table 5 is at first sight unintuitive, but it is only seen in the presence of the number of RfE categories variable (when that is removed the IRR for Shannon entropy is 1.3) indicating that higher complexity is associated with total contact count. However when controlling for the number of categories it appears that higher entropy is associated with lower total numbers of contacts.  </w:t>
      </w:r>
    </w:p>
    <w:p w14:paraId="751C831D" w14:textId="77777777" w:rsidR="00FD501A" w:rsidRDefault="00FD501A"/>
    <w:p w14:paraId="343F3E4D" w14:textId="0A1D6D0A" w:rsidR="00FD501A" w:rsidRDefault="00FD501A">
      <w:r>
        <w:t xml:space="preserve">Supplementary Table 5: </w:t>
      </w:r>
      <w:r w:rsidR="002369FC">
        <w:t>Results of negative binomial regression with total number of contacts as the dependent variable.</w:t>
      </w:r>
    </w:p>
    <w:p w14:paraId="2EF027D3" w14:textId="1C305FC6" w:rsidR="00FD501A" w:rsidRDefault="00FD501A"/>
    <w:tbl>
      <w:tblPr>
        <w:tblW w:w="8928" w:type="dxa"/>
        <w:tblLook w:val="04A0" w:firstRow="1" w:lastRow="0" w:firstColumn="1" w:lastColumn="0" w:noHBand="0" w:noVBand="1"/>
      </w:tblPr>
      <w:tblGrid>
        <w:gridCol w:w="3261"/>
        <w:gridCol w:w="1592"/>
        <w:gridCol w:w="2516"/>
        <w:gridCol w:w="1559"/>
      </w:tblGrid>
      <w:tr w:rsidR="00FD501A" w:rsidRPr="00FB5FD6" w14:paraId="093DDAE3" w14:textId="77777777" w:rsidTr="00B24345">
        <w:trPr>
          <w:trHeight w:val="454"/>
        </w:trPr>
        <w:tc>
          <w:tcPr>
            <w:tcW w:w="3261" w:type="dxa"/>
            <w:tcBorders>
              <w:top w:val="single" w:sz="4" w:space="0" w:color="auto"/>
              <w:left w:val="nil"/>
              <w:bottom w:val="single" w:sz="4" w:space="0" w:color="auto"/>
              <w:right w:val="nil"/>
            </w:tcBorders>
            <w:shd w:val="clear" w:color="auto" w:fill="auto"/>
            <w:noWrap/>
            <w:vAlign w:val="bottom"/>
          </w:tcPr>
          <w:p w14:paraId="7CE39F83" w14:textId="77777777" w:rsidR="00FD501A" w:rsidRPr="00FB5FD6" w:rsidRDefault="00FD501A" w:rsidP="00B24345">
            <w:pPr>
              <w:pStyle w:val="Tableheader"/>
            </w:pPr>
          </w:p>
        </w:tc>
        <w:tc>
          <w:tcPr>
            <w:tcW w:w="1592" w:type="dxa"/>
            <w:tcBorders>
              <w:top w:val="single" w:sz="4" w:space="0" w:color="auto"/>
              <w:left w:val="nil"/>
              <w:bottom w:val="single" w:sz="4" w:space="0" w:color="auto"/>
              <w:right w:val="nil"/>
            </w:tcBorders>
            <w:shd w:val="clear" w:color="auto" w:fill="auto"/>
            <w:noWrap/>
            <w:vAlign w:val="bottom"/>
          </w:tcPr>
          <w:p w14:paraId="436B4CE4" w14:textId="560E9D5C" w:rsidR="00FD501A" w:rsidRPr="00FB5FD6" w:rsidRDefault="00FD501A" w:rsidP="00B24345">
            <w:pPr>
              <w:pStyle w:val="Tableheader"/>
            </w:pPr>
            <w:r>
              <w:t>IRR</w:t>
            </w:r>
          </w:p>
        </w:tc>
        <w:tc>
          <w:tcPr>
            <w:tcW w:w="2516" w:type="dxa"/>
            <w:tcBorders>
              <w:top w:val="single" w:sz="4" w:space="0" w:color="auto"/>
              <w:left w:val="nil"/>
              <w:bottom w:val="single" w:sz="4" w:space="0" w:color="auto"/>
              <w:right w:val="nil"/>
            </w:tcBorders>
            <w:shd w:val="clear" w:color="auto" w:fill="auto"/>
            <w:noWrap/>
            <w:vAlign w:val="bottom"/>
          </w:tcPr>
          <w:p w14:paraId="06719AAD" w14:textId="77777777" w:rsidR="00FD501A" w:rsidRPr="00FB5FD6" w:rsidRDefault="00FD501A" w:rsidP="00B24345">
            <w:pPr>
              <w:pStyle w:val="Tableheader"/>
            </w:pPr>
            <w:r w:rsidRPr="00FB5FD6">
              <w:t>95%CI</w:t>
            </w:r>
          </w:p>
        </w:tc>
        <w:tc>
          <w:tcPr>
            <w:tcW w:w="1559" w:type="dxa"/>
            <w:tcBorders>
              <w:top w:val="single" w:sz="4" w:space="0" w:color="auto"/>
              <w:left w:val="nil"/>
              <w:bottom w:val="single" w:sz="4" w:space="0" w:color="auto"/>
              <w:right w:val="nil"/>
            </w:tcBorders>
            <w:shd w:val="clear" w:color="auto" w:fill="auto"/>
            <w:noWrap/>
            <w:vAlign w:val="bottom"/>
          </w:tcPr>
          <w:p w14:paraId="4F479C23" w14:textId="77777777" w:rsidR="00FD501A" w:rsidRPr="00FB5FD6" w:rsidRDefault="00FD501A" w:rsidP="00B24345">
            <w:pPr>
              <w:pStyle w:val="Tableheader"/>
            </w:pPr>
            <w:r w:rsidRPr="00FB5FD6">
              <w:t>p-value</w:t>
            </w:r>
          </w:p>
        </w:tc>
      </w:tr>
      <w:tr w:rsidR="00FD501A" w:rsidRPr="00FB5FD6" w14:paraId="774EC142" w14:textId="77777777" w:rsidTr="00B24345">
        <w:trPr>
          <w:trHeight w:val="320"/>
        </w:trPr>
        <w:tc>
          <w:tcPr>
            <w:tcW w:w="3261" w:type="dxa"/>
            <w:tcBorders>
              <w:top w:val="nil"/>
              <w:left w:val="nil"/>
              <w:bottom w:val="nil"/>
              <w:right w:val="nil"/>
            </w:tcBorders>
            <w:shd w:val="clear" w:color="auto" w:fill="auto"/>
            <w:noWrap/>
            <w:vAlign w:val="bottom"/>
            <w:hideMark/>
          </w:tcPr>
          <w:p w14:paraId="16CACF38" w14:textId="77777777" w:rsidR="00FD501A" w:rsidRPr="00FB5FD6" w:rsidRDefault="00FD501A" w:rsidP="00B24345">
            <w:pPr>
              <w:pStyle w:val="TableText"/>
            </w:pPr>
            <w:r w:rsidRPr="00FB5FD6">
              <w:t xml:space="preserve">Number of </w:t>
            </w:r>
            <w:r>
              <w:t>RfE</w:t>
            </w:r>
            <w:r w:rsidRPr="00FB5FD6">
              <w:t xml:space="preserve"> categories</w:t>
            </w:r>
          </w:p>
        </w:tc>
        <w:tc>
          <w:tcPr>
            <w:tcW w:w="1592" w:type="dxa"/>
            <w:tcBorders>
              <w:top w:val="nil"/>
              <w:left w:val="nil"/>
              <w:bottom w:val="nil"/>
              <w:right w:val="nil"/>
            </w:tcBorders>
            <w:shd w:val="clear" w:color="auto" w:fill="auto"/>
            <w:noWrap/>
            <w:vAlign w:val="bottom"/>
            <w:hideMark/>
          </w:tcPr>
          <w:p w14:paraId="7D7C6843" w14:textId="4EC55285" w:rsidR="00FD501A" w:rsidRPr="00FB5FD6" w:rsidRDefault="00FD501A" w:rsidP="00B24345">
            <w:pPr>
              <w:pStyle w:val="TableText"/>
            </w:pPr>
            <w:r>
              <w:rPr>
                <w:rFonts w:cs="Calibri"/>
              </w:rPr>
              <w:t>3.74</w:t>
            </w:r>
          </w:p>
        </w:tc>
        <w:tc>
          <w:tcPr>
            <w:tcW w:w="2516" w:type="dxa"/>
            <w:tcBorders>
              <w:top w:val="nil"/>
              <w:left w:val="nil"/>
              <w:bottom w:val="nil"/>
              <w:right w:val="nil"/>
            </w:tcBorders>
            <w:shd w:val="clear" w:color="auto" w:fill="auto"/>
            <w:noWrap/>
            <w:vAlign w:val="bottom"/>
            <w:hideMark/>
          </w:tcPr>
          <w:p w14:paraId="28B8D923" w14:textId="06718F12" w:rsidR="00FD501A" w:rsidRPr="00FB5FD6" w:rsidRDefault="00FD501A" w:rsidP="00B24345">
            <w:pPr>
              <w:pStyle w:val="TableText"/>
            </w:pPr>
            <w:r>
              <w:rPr>
                <w:rFonts w:cs="Calibri"/>
              </w:rPr>
              <w:t>3.64 to 3.83</w:t>
            </w:r>
          </w:p>
        </w:tc>
        <w:tc>
          <w:tcPr>
            <w:tcW w:w="1559" w:type="dxa"/>
            <w:tcBorders>
              <w:top w:val="nil"/>
              <w:left w:val="nil"/>
              <w:bottom w:val="nil"/>
              <w:right w:val="nil"/>
            </w:tcBorders>
            <w:shd w:val="clear" w:color="auto" w:fill="auto"/>
            <w:noWrap/>
            <w:vAlign w:val="bottom"/>
            <w:hideMark/>
          </w:tcPr>
          <w:p w14:paraId="566EE4DC" w14:textId="77777777" w:rsidR="00FD501A" w:rsidRPr="00FB5FD6" w:rsidRDefault="00FD501A" w:rsidP="00B24345">
            <w:pPr>
              <w:pStyle w:val="TableText"/>
            </w:pPr>
            <w:r>
              <w:rPr>
                <w:rFonts w:cs="Calibri"/>
              </w:rPr>
              <w:t>&lt;.001</w:t>
            </w:r>
          </w:p>
        </w:tc>
      </w:tr>
      <w:tr w:rsidR="00FD501A" w:rsidRPr="00FB5FD6" w14:paraId="0E56D967" w14:textId="77777777" w:rsidTr="00B24345">
        <w:trPr>
          <w:trHeight w:val="320"/>
        </w:trPr>
        <w:tc>
          <w:tcPr>
            <w:tcW w:w="3261" w:type="dxa"/>
            <w:tcBorders>
              <w:top w:val="nil"/>
              <w:left w:val="nil"/>
              <w:bottom w:val="nil"/>
              <w:right w:val="nil"/>
            </w:tcBorders>
            <w:shd w:val="clear" w:color="auto" w:fill="auto"/>
            <w:noWrap/>
            <w:vAlign w:val="bottom"/>
            <w:hideMark/>
          </w:tcPr>
          <w:p w14:paraId="2358EC0D" w14:textId="5E566C3C" w:rsidR="00FD501A" w:rsidRPr="00FB5FD6" w:rsidRDefault="00FD501A" w:rsidP="00B24345">
            <w:pPr>
              <w:pStyle w:val="TableText"/>
            </w:pPr>
            <w:r>
              <w:t>Shannon entropy</w:t>
            </w:r>
          </w:p>
        </w:tc>
        <w:tc>
          <w:tcPr>
            <w:tcW w:w="1592" w:type="dxa"/>
            <w:tcBorders>
              <w:top w:val="nil"/>
              <w:left w:val="nil"/>
              <w:bottom w:val="nil"/>
              <w:right w:val="nil"/>
            </w:tcBorders>
            <w:shd w:val="clear" w:color="auto" w:fill="auto"/>
            <w:noWrap/>
            <w:vAlign w:val="bottom"/>
            <w:hideMark/>
          </w:tcPr>
          <w:p w14:paraId="256477EE" w14:textId="672218A3" w:rsidR="00FD501A" w:rsidRPr="00FB5FD6" w:rsidRDefault="00FD501A" w:rsidP="00B24345">
            <w:pPr>
              <w:pStyle w:val="TableText"/>
            </w:pPr>
            <w:r>
              <w:rPr>
                <w:rFonts w:cs="Calibri"/>
              </w:rPr>
              <w:t>0.07</w:t>
            </w:r>
          </w:p>
        </w:tc>
        <w:tc>
          <w:tcPr>
            <w:tcW w:w="2516" w:type="dxa"/>
            <w:tcBorders>
              <w:top w:val="nil"/>
              <w:left w:val="nil"/>
              <w:bottom w:val="nil"/>
              <w:right w:val="nil"/>
            </w:tcBorders>
            <w:shd w:val="clear" w:color="auto" w:fill="auto"/>
            <w:noWrap/>
            <w:vAlign w:val="bottom"/>
            <w:hideMark/>
          </w:tcPr>
          <w:p w14:paraId="1A59AAB3" w14:textId="55A3342D" w:rsidR="00FD501A" w:rsidRPr="00FB5FD6" w:rsidRDefault="00FD501A" w:rsidP="00B24345">
            <w:pPr>
              <w:pStyle w:val="TableText"/>
            </w:pPr>
            <w:r>
              <w:rPr>
                <w:rFonts w:cs="Calibri"/>
              </w:rPr>
              <w:t>0.07 to 0.08</w:t>
            </w:r>
          </w:p>
        </w:tc>
        <w:tc>
          <w:tcPr>
            <w:tcW w:w="1559" w:type="dxa"/>
            <w:tcBorders>
              <w:top w:val="nil"/>
              <w:left w:val="nil"/>
              <w:bottom w:val="nil"/>
              <w:right w:val="nil"/>
            </w:tcBorders>
            <w:shd w:val="clear" w:color="auto" w:fill="auto"/>
            <w:noWrap/>
            <w:vAlign w:val="bottom"/>
            <w:hideMark/>
          </w:tcPr>
          <w:p w14:paraId="7CF64235" w14:textId="77777777" w:rsidR="00FD501A" w:rsidRPr="00FB5FD6" w:rsidRDefault="00FD501A" w:rsidP="00B24345">
            <w:pPr>
              <w:pStyle w:val="TableText"/>
            </w:pPr>
            <w:r>
              <w:rPr>
                <w:rFonts w:cs="Calibri"/>
              </w:rPr>
              <w:t>&lt;.001</w:t>
            </w:r>
          </w:p>
        </w:tc>
      </w:tr>
      <w:tr w:rsidR="00FD501A" w:rsidRPr="00FB5FD6" w14:paraId="1C408E9C" w14:textId="77777777" w:rsidTr="00B24345">
        <w:trPr>
          <w:trHeight w:val="320"/>
        </w:trPr>
        <w:tc>
          <w:tcPr>
            <w:tcW w:w="3261" w:type="dxa"/>
            <w:tcBorders>
              <w:top w:val="nil"/>
              <w:left w:val="nil"/>
              <w:bottom w:val="nil"/>
              <w:right w:val="nil"/>
            </w:tcBorders>
            <w:shd w:val="clear" w:color="auto" w:fill="auto"/>
            <w:noWrap/>
            <w:vAlign w:val="bottom"/>
            <w:hideMark/>
          </w:tcPr>
          <w:p w14:paraId="34DEF87F" w14:textId="77777777" w:rsidR="00FD501A" w:rsidRPr="00FB5FD6" w:rsidRDefault="00FD501A" w:rsidP="00B24345">
            <w:pPr>
              <w:pStyle w:val="TableText"/>
            </w:pPr>
            <w:r w:rsidRPr="00FB5FD6">
              <w:t>Age (decades)</w:t>
            </w:r>
          </w:p>
        </w:tc>
        <w:tc>
          <w:tcPr>
            <w:tcW w:w="1592" w:type="dxa"/>
            <w:tcBorders>
              <w:top w:val="nil"/>
              <w:left w:val="nil"/>
              <w:bottom w:val="nil"/>
              <w:right w:val="nil"/>
            </w:tcBorders>
            <w:shd w:val="clear" w:color="auto" w:fill="auto"/>
            <w:noWrap/>
            <w:vAlign w:val="bottom"/>
            <w:hideMark/>
          </w:tcPr>
          <w:p w14:paraId="68EFDCD4" w14:textId="23A7D94A" w:rsidR="00FD501A" w:rsidRPr="00FB5FD6" w:rsidRDefault="00FD501A" w:rsidP="00B24345">
            <w:pPr>
              <w:pStyle w:val="TableText"/>
            </w:pPr>
            <w:r>
              <w:rPr>
                <w:rFonts w:cs="Calibri"/>
              </w:rPr>
              <w:t>0.99</w:t>
            </w:r>
          </w:p>
        </w:tc>
        <w:tc>
          <w:tcPr>
            <w:tcW w:w="2516" w:type="dxa"/>
            <w:tcBorders>
              <w:top w:val="nil"/>
              <w:left w:val="nil"/>
              <w:bottom w:val="nil"/>
              <w:right w:val="nil"/>
            </w:tcBorders>
            <w:shd w:val="clear" w:color="auto" w:fill="auto"/>
            <w:noWrap/>
            <w:vAlign w:val="bottom"/>
            <w:hideMark/>
          </w:tcPr>
          <w:p w14:paraId="54F78FCD" w14:textId="15FB8E26" w:rsidR="00FD501A" w:rsidRPr="00FB5FD6" w:rsidRDefault="00FD501A" w:rsidP="00B24345">
            <w:pPr>
              <w:pStyle w:val="TableText"/>
            </w:pPr>
            <w:r>
              <w:rPr>
                <w:rFonts w:cs="Calibri"/>
              </w:rPr>
              <w:t>0.98 to 1.0</w:t>
            </w:r>
          </w:p>
        </w:tc>
        <w:tc>
          <w:tcPr>
            <w:tcW w:w="1559" w:type="dxa"/>
            <w:tcBorders>
              <w:top w:val="nil"/>
              <w:left w:val="nil"/>
              <w:bottom w:val="nil"/>
              <w:right w:val="nil"/>
            </w:tcBorders>
            <w:shd w:val="clear" w:color="auto" w:fill="auto"/>
            <w:noWrap/>
            <w:vAlign w:val="bottom"/>
            <w:hideMark/>
          </w:tcPr>
          <w:p w14:paraId="38547CB2" w14:textId="6DDD767D" w:rsidR="00FD501A" w:rsidRPr="00FB5FD6" w:rsidRDefault="00FD501A" w:rsidP="00B24345">
            <w:pPr>
              <w:pStyle w:val="TableText"/>
            </w:pPr>
            <w:r>
              <w:rPr>
                <w:rFonts w:cs="Calibri"/>
              </w:rPr>
              <w:t>0.04</w:t>
            </w:r>
          </w:p>
        </w:tc>
      </w:tr>
      <w:tr w:rsidR="00FD501A" w:rsidRPr="00FB5FD6" w14:paraId="7EE9252F" w14:textId="77777777" w:rsidTr="00FD501A">
        <w:trPr>
          <w:trHeight w:val="320"/>
        </w:trPr>
        <w:tc>
          <w:tcPr>
            <w:tcW w:w="3261" w:type="dxa"/>
            <w:tcBorders>
              <w:top w:val="nil"/>
              <w:left w:val="nil"/>
              <w:right w:val="nil"/>
            </w:tcBorders>
            <w:shd w:val="clear" w:color="auto" w:fill="auto"/>
            <w:noWrap/>
            <w:vAlign w:val="bottom"/>
            <w:hideMark/>
          </w:tcPr>
          <w:p w14:paraId="73ABB742" w14:textId="77777777" w:rsidR="00FD501A" w:rsidRPr="00FB5FD6" w:rsidRDefault="00FD501A" w:rsidP="00B24345">
            <w:pPr>
              <w:pStyle w:val="TableText"/>
            </w:pPr>
            <w:r w:rsidRPr="00FB5FD6">
              <w:t>Sex: Male</w:t>
            </w:r>
          </w:p>
        </w:tc>
        <w:tc>
          <w:tcPr>
            <w:tcW w:w="1592" w:type="dxa"/>
            <w:tcBorders>
              <w:top w:val="nil"/>
              <w:left w:val="nil"/>
              <w:right w:val="nil"/>
            </w:tcBorders>
            <w:shd w:val="clear" w:color="auto" w:fill="auto"/>
            <w:noWrap/>
            <w:vAlign w:val="bottom"/>
            <w:hideMark/>
          </w:tcPr>
          <w:p w14:paraId="1DA24ED9" w14:textId="4FC605C2" w:rsidR="00FD501A" w:rsidRPr="00FB5FD6" w:rsidRDefault="00FD501A" w:rsidP="00B24345">
            <w:pPr>
              <w:pStyle w:val="TableText"/>
            </w:pPr>
            <w:r>
              <w:rPr>
                <w:rFonts w:cs="Calibri"/>
              </w:rPr>
              <w:t>1.00</w:t>
            </w:r>
          </w:p>
        </w:tc>
        <w:tc>
          <w:tcPr>
            <w:tcW w:w="2516" w:type="dxa"/>
            <w:tcBorders>
              <w:top w:val="nil"/>
              <w:left w:val="nil"/>
              <w:right w:val="nil"/>
            </w:tcBorders>
            <w:shd w:val="clear" w:color="auto" w:fill="auto"/>
            <w:noWrap/>
            <w:vAlign w:val="bottom"/>
            <w:hideMark/>
          </w:tcPr>
          <w:p w14:paraId="76B795A6" w14:textId="78BF1005" w:rsidR="00FD501A" w:rsidRPr="00FB5FD6" w:rsidRDefault="00FD501A" w:rsidP="00B24345">
            <w:pPr>
              <w:pStyle w:val="TableText"/>
            </w:pPr>
            <w:r>
              <w:rPr>
                <w:rFonts w:cs="Calibri"/>
              </w:rPr>
              <w:t>0.96 to 1.04</w:t>
            </w:r>
          </w:p>
        </w:tc>
        <w:tc>
          <w:tcPr>
            <w:tcW w:w="1559" w:type="dxa"/>
            <w:tcBorders>
              <w:top w:val="nil"/>
              <w:left w:val="nil"/>
              <w:right w:val="nil"/>
            </w:tcBorders>
            <w:shd w:val="clear" w:color="auto" w:fill="auto"/>
            <w:noWrap/>
            <w:vAlign w:val="bottom"/>
            <w:hideMark/>
          </w:tcPr>
          <w:p w14:paraId="7BF4F1B2" w14:textId="612C110D" w:rsidR="00FD501A" w:rsidRPr="00FB5FD6" w:rsidRDefault="00FD501A" w:rsidP="00B24345">
            <w:pPr>
              <w:pStyle w:val="TableText"/>
            </w:pPr>
            <w:r>
              <w:rPr>
                <w:rFonts w:cs="Calibri"/>
              </w:rPr>
              <w:t>0.98</w:t>
            </w:r>
          </w:p>
        </w:tc>
      </w:tr>
      <w:tr w:rsidR="00FD501A" w:rsidRPr="00FB5FD6" w14:paraId="505694FF" w14:textId="77777777" w:rsidTr="00FD501A">
        <w:trPr>
          <w:trHeight w:val="320"/>
        </w:trPr>
        <w:tc>
          <w:tcPr>
            <w:tcW w:w="3261" w:type="dxa"/>
            <w:tcBorders>
              <w:top w:val="nil"/>
              <w:left w:val="nil"/>
              <w:bottom w:val="single" w:sz="4" w:space="0" w:color="auto"/>
              <w:right w:val="nil"/>
            </w:tcBorders>
            <w:shd w:val="clear" w:color="auto" w:fill="auto"/>
            <w:noWrap/>
            <w:vAlign w:val="bottom"/>
            <w:hideMark/>
          </w:tcPr>
          <w:p w14:paraId="51446F17" w14:textId="77777777" w:rsidR="00FD501A" w:rsidRPr="00FB5FD6" w:rsidRDefault="00FD501A" w:rsidP="00FD501A">
            <w:pPr>
              <w:pStyle w:val="TableText"/>
            </w:pPr>
            <w:r w:rsidRPr="00FB5FD6">
              <w:t xml:space="preserve">Mental Health </w:t>
            </w:r>
            <w:r>
              <w:t>RfE</w:t>
            </w:r>
          </w:p>
        </w:tc>
        <w:tc>
          <w:tcPr>
            <w:tcW w:w="1592" w:type="dxa"/>
            <w:tcBorders>
              <w:top w:val="nil"/>
              <w:left w:val="nil"/>
              <w:bottom w:val="single" w:sz="4" w:space="0" w:color="auto"/>
              <w:right w:val="nil"/>
            </w:tcBorders>
            <w:shd w:val="clear" w:color="auto" w:fill="auto"/>
            <w:noWrap/>
            <w:vAlign w:val="bottom"/>
            <w:hideMark/>
          </w:tcPr>
          <w:p w14:paraId="4966984D" w14:textId="66BDDB0E" w:rsidR="00FD501A" w:rsidRPr="00FB5FD6" w:rsidRDefault="00FD501A" w:rsidP="00FD501A">
            <w:pPr>
              <w:pStyle w:val="TableText"/>
            </w:pPr>
            <w:r>
              <w:rPr>
                <w:rFonts w:cs="Calibri"/>
              </w:rPr>
              <w:t>1.07</w:t>
            </w:r>
          </w:p>
        </w:tc>
        <w:tc>
          <w:tcPr>
            <w:tcW w:w="2516" w:type="dxa"/>
            <w:tcBorders>
              <w:top w:val="nil"/>
              <w:left w:val="nil"/>
              <w:bottom w:val="single" w:sz="4" w:space="0" w:color="auto"/>
              <w:right w:val="nil"/>
            </w:tcBorders>
            <w:shd w:val="clear" w:color="auto" w:fill="auto"/>
            <w:noWrap/>
            <w:vAlign w:val="bottom"/>
            <w:hideMark/>
          </w:tcPr>
          <w:p w14:paraId="7FED9EBB" w14:textId="3D552375" w:rsidR="00FD501A" w:rsidRPr="00FB5FD6" w:rsidRDefault="00FD501A" w:rsidP="00FD501A">
            <w:pPr>
              <w:pStyle w:val="TableText"/>
            </w:pPr>
            <w:r>
              <w:rPr>
                <w:rFonts w:cs="Calibri"/>
              </w:rPr>
              <w:t>1.02 to 1.13</w:t>
            </w:r>
          </w:p>
        </w:tc>
        <w:tc>
          <w:tcPr>
            <w:tcW w:w="1559" w:type="dxa"/>
            <w:tcBorders>
              <w:top w:val="nil"/>
              <w:left w:val="nil"/>
              <w:bottom w:val="single" w:sz="4" w:space="0" w:color="auto"/>
              <w:right w:val="nil"/>
            </w:tcBorders>
            <w:shd w:val="clear" w:color="auto" w:fill="auto"/>
            <w:noWrap/>
            <w:vAlign w:val="bottom"/>
            <w:hideMark/>
          </w:tcPr>
          <w:p w14:paraId="59EF6730" w14:textId="338187FA" w:rsidR="00FD501A" w:rsidRPr="00FB5FD6" w:rsidRDefault="00FD501A" w:rsidP="00FD501A">
            <w:pPr>
              <w:pStyle w:val="TableText"/>
            </w:pPr>
            <w:r>
              <w:rPr>
                <w:rFonts w:cs="Calibri"/>
              </w:rPr>
              <w:t>0.009</w:t>
            </w:r>
          </w:p>
        </w:tc>
      </w:tr>
      <w:tr w:rsidR="00FD501A" w:rsidRPr="00FB5FD6" w14:paraId="1B52801F" w14:textId="77777777" w:rsidTr="00FD501A">
        <w:trPr>
          <w:trHeight w:val="320"/>
        </w:trPr>
        <w:tc>
          <w:tcPr>
            <w:tcW w:w="3261" w:type="dxa"/>
            <w:tcBorders>
              <w:top w:val="single" w:sz="4" w:space="0" w:color="auto"/>
              <w:left w:val="nil"/>
              <w:bottom w:val="nil"/>
              <w:right w:val="nil"/>
            </w:tcBorders>
            <w:shd w:val="clear" w:color="auto" w:fill="auto"/>
            <w:noWrap/>
            <w:vAlign w:val="bottom"/>
            <w:hideMark/>
          </w:tcPr>
          <w:p w14:paraId="249EDE71" w14:textId="77777777" w:rsidR="00FD501A" w:rsidRPr="00FB5FD6" w:rsidRDefault="00FD501A" w:rsidP="00B24345">
            <w:pPr>
              <w:pStyle w:val="TableText"/>
            </w:pPr>
          </w:p>
        </w:tc>
        <w:tc>
          <w:tcPr>
            <w:tcW w:w="1592" w:type="dxa"/>
            <w:tcBorders>
              <w:top w:val="single" w:sz="4" w:space="0" w:color="auto"/>
              <w:left w:val="nil"/>
              <w:bottom w:val="nil"/>
              <w:right w:val="nil"/>
            </w:tcBorders>
            <w:shd w:val="clear" w:color="auto" w:fill="auto"/>
            <w:noWrap/>
            <w:vAlign w:val="bottom"/>
            <w:hideMark/>
          </w:tcPr>
          <w:p w14:paraId="7DC86CCA" w14:textId="77777777" w:rsidR="00FD501A" w:rsidRPr="00FB5FD6" w:rsidRDefault="00FD501A" w:rsidP="00B24345">
            <w:pPr>
              <w:pStyle w:val="TableText"/>
              <w:rPr>
                <w:color w:val="auto"/>
                <w:sz w:val="20"/>
                <w:szCs w:val="20"/>
              </w:rPr>
            </w:pPr>
          </w:p>
        </w:tc>
        <w:tc>
          <w:tcPr>
            <w:tcW w:w="2516" w:type="dxa"/>
            <w:tcBorders>
              <w:top w:val="single" w:sz="4" w:space="0" w:color="auto"/>
              <w:left w:val="nil"/>
              <w:bottom w:val="nil"/>
              <w:right w:val="nil"/>
            </w:tcBorders>
            <w:shd w:val="clear" w:color="auto" w:fill="auto"/>
            <w:noWrap/>
            <w:vAlign w:val="bottom"/>
            <w:hideMark/>
          </w:tcPr>
          <w:p w14:paraId="0D027620" w14:textId="77777777" w:rsidR="00FD501A" w:rsidRPr="00FB5FD6" w:rsidRDefault="00FD501A" w:rsidP="00B24345">
            <w:pPr>
              <w:pStyle w:val="TableText"/>
              <w:rPr>
                <w:color w:val="auto"/>
                <w:sz w:val="20"/>
                <w:szCs w:val="20"/>
              </w:rPr>
            </w:pPr>
          </w:p>
        </w:tc>
        <w:tc>
          <w:tcPr>
            <w:tcW w:w="1559" w:type="dxa"/>
            <w:tcBorders>
              <w:top w:val="single" w:sz="4" w:space="0" w:color="auto"/>
              <w:left w:val="nil"/>
              <w:bottom w:val="nil"/>
              <w:right w:val="nil"/>
            </w:tcBorders>
            <w:shd w:val="clear" w:color="auto" w:fill="auto"/>
            <w:noWrap/>
            <w:vAlign w:val="bottom"/>
            <w:hideMark/>
          </w:tcPr>
          <w:p w14:paraId="327A5D1A" w14:textId="77777777" w:rsidR="00FD501A" w:rsidRPr="00FB5FD6" w:rsidRDefault="00FD501A" w:rsidP="00B24345">
            <w:pPr>
              <w:pStyle w:val="TableText"/>
              <w:rPr>
                <w:color w:val="auto"/>
                <w:sz w:val="20"/>
                <w:szCs w:val="20"/>
              </w:rPr>
            </w:pPr>
          </w:p>
        </w:tc>
      </w:tr>
    </w:tbl>
    <w:p w14:paraId="06D6E388" w14:textId="49A10AB6" w:rsidR="00FD501A" w:rsidRDefault="002369FC">
      <w:r>
        <w:t xml:space="preserve">IRR – incidence rate ratio </w:t>
      </w:r>
    </w:p>
    <w:p w14:paraId="4224CC85" w14:textId="08D925F7" w:rsidR="002369FC" w:rsidRDefault="002369FC">
      <w:r>
        <w:t>RfE Reason for Encounter</w:t>
      </w:r>
    </w:p>
    <w:p w14:paraId="683331BF" w14:textId="0F085511" w:rsidR="003275D3" w:rsidRDefault="003275D3"/>
    <w:p w14:paraId="4DB41723" w14:textId="77777777" w:rsidR="003275D3" w:rsidRDefault="003275D3"/>
    <w:sectPr w:rsidR="003275D3" w:rsidSect="00D62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3"/>
  </w:docVars>
  <w:rsids>
    <w:rsidRoot w:val="003275D3"/>
    <w:rsid w:val="000004C6"/>
    <w:rsid w:val="000233D7"/>
    <w:rsid w:val="000251DB"/>
    <w:rsid w:val="00027D90"/>
    <w:rsid w:val="00035D96"/>
    <w:rsid w:val="00051A7F"/>
    <w:rsid w:val="0006223E"/>
    <w:rsid w:val="00073FDA"/>
    <w:rsid w:val="000A667E"/>
    <w:rsid w:val="000C08A9"/>
    <w:rsid w:val="000C4BBB"/>
    <w:rsid w:val="000E33FD"/>
    <w:rsid w:val="00134D60"/>
    <w:rsid w:val="00194BC1"/>
    <w:rsid w:val="00196802"/>
    <w:rsid w:val="001A0219"/>
    <w:rsid w:val="001C5061"/>
    <w:rsid w:val="002070B8"/>
    <w:rsid w:val="00217FE1"/>
    <w:rsid w:val="002369FC"/>
    <w:rsid w:val="00266AC6"/>
    <w:rsid w:val="00270E94"/>
    <w:rsid w:val="002A0738"/>
    <w:rsid w:val="002C187E"/>
    <w:rsid w:val="002D4153"/>
    <w:rsid w:val="003275D3"/>
    <w:rsid w:val="0033747F"/>
    <w:rsid w:val="003418BC"/>
    <w:rsid w:val="00343361"/>
    <w:rsid w:val="00352AFE"/>
    <w:rsid w:val="00366D3A"/>
    <w:rsid w:val="003C02A2"/>
    <w:rsid w:val="003D41EF"/>
    <w:rsid w:val="003E2F12"/>
    <w:rsid w:val="003F4456"/>
    <w:rsid w:val="00411D06"/>
    <w:rsid w:val="004563D3"/>
    <w:rsid w:val="00466A38"/>
    <w:rsid w:val="00475924"/>
    <w:rsid w:val="004843B7"/>
    <w:rsid w:val="004A3274"/>
    <w:rsid w:val="004C70D6"/>
    <w:rsid w:val="004E7DC6"/>
    <w:rsid w:val="004F5A89"/>
    <w:rsid w:val="005073A1"/>
    <w:rsid w:val="005102ED"/>
    <w:rsid w:val="00513D06"/>
    <w:rsid w:val="00534B3D"/>
    <w:rsid w:val="0053533E"/>
    <w:rsid w:val="00543607"/>
    <w:rsid w:val="00573D1E"/>
    <w:rsid w:val="005768EE"/>
    <w:rsid w:val="005A6B96"/>
    <w:rsid w:val="0064644F"/>
    <w:rsid w:val="00646BC8"/>
    <w:rsid w:val="006516F4"/>
    <w:rsid w:val="00657753"/>
    <w:rsid w:val="00661836"/>
    <w:rsid w:val="00672821"/>
    <w:rsid w:val="00673D42"/>
    <w:rsid w:val="006C50A8"/>
    <w:rsid w:val="007321CD"/>
    <w:rsid w:val="007367D0"/>
    <w:rsid w:val="007437DC"/>
    <w:rsid w:val="0075107C"/>
    <w:rsid w:val="00754E5F"/>
    <w:rsid w:val="0077383B"/>
    <w:rsid w:val="00793DB9"/>
    <w:rsid w:val="007A568A"/>
    <w:rsid w:val="007D3A1E"/>
    <w:rsid w:val="007D7C27"/>
    <w:rsid w:val="007E43D0"/>
    <w:rsid w:val="007E4C49"/>
    <w:rsid w:val="007F3CAF"/>
    <w:rsid w:val="008362E1"/>
    <w:rsid w:val="00846831"/>
    <w:rsid w:val="0085304D"/>
    <w:rsid w:val="008A2385"/>
    <w:rsid w:val="008B437E"/>
    <w:rsid w:val="008D4B63"/>
    <w:rsid w:val="008F19D9"/>
    <w:rsid w:val="008F7FC4"/>
    <w:rsid w:val="00906F6B"/>
    <w:rsid w:val="00914797"/>
    <w:rsid w:val="00916888"/>
    <w:rsid w:val="00926E63"/>
    <w:rsid w:val="009561C3"/>
    <w:rsid w:val="00962FF8"/>
    <w:rsid w:val="00970E3B"/>
    <w:rsid w:val="009A0E59"/>
    <w:rsid w:val="009D5C1E"/>
    <w:rsid w:val="00A16F85"/>
    <w:rsid w:val="00A242DB"/>
    <w:rsid w:val="00A56EFD"/>
    <w:rsid w:val="00A6158F"/>
    <w:rsid w:val="00A77EB1"/>
    <w:rsid w:val="00A931E6"/>
    <w:rsid w:val="00AA2D3B"/>
    <w:rsid w:val="00AD4C65"/>
    <w:rsid w:val="00B32724"/>
    <w:rsid w:val="00B343A1"/>
    <w:rsid w:val="00B84DE8"/>
    <w:rsid w:val="00B93088"/>
    <w:rsid w:val="00BB0008"/>
    <w:rsid w:val="00BB23DE"/>
    <w:rsid w:val="00BD5748"/>
    <w:rsid w:val="00BE28F4"/>
    <w:rsid w:val="00C02A8D"/>
    <w:rsid w:val="00C43E83"/>
    <w:rsid w:val="00C56307"/>
    <w:rsid w:val="00CB1313"/>
    <w:rsid w:val="00CC655A"/>
    <w:rsid w:val="00CE1226"/>
    <w:rsid w:val="00D02877"/>
    <w:rsid w:val="00D15264"/>
    <w:rsid w:val="00D200FB"/>
    <w:rsid w:val="00D20FEB"/>
    <w:rsid w:val="00D4377E"/>
    <w:rsid w:val="00D4760E"/>
    <w:rsid w:val="00D62CC2"/>
    <w:rsid w:val="00D64402"/>
    <w:rsid w:val="00D72246"/>
    <w:rsid w:val="00D80CB8"/>
    <w:rsid w:val="00DA3823"/>
    <w:rsid w:val="00DD5358"/>
    <w:rsid w:val="00DE4D82"/>
    <w:rsid w:val="00DF0D2F"/>
    <w:rsid w:val="00E25FC5"/>
    <w:rsid w:val="00E460F2"/>
    <w:rsid w:val="00E50106"/>
    <w:rsid w:val="00E5417E"/>
    <w:rsid w:val="00E775F1"/>
    <w:rsid w:val="00EC34E6"/>
    <w:rsid w:val="00EC3CCC"/>
    <w:rsid w:val="00EC7D36"/>
    <w:rsid w:val="00ED5D9E"/>
    <w:rsid w:val="00EE1DA0"/>
    <w:rsid w:val="00F04C42"/>
    <w:rsid w:val="00F64B37"/>
    <w:rsid w:val="00FA2D68"/>
    <w:rsid w:val="00FA5A43"/>
    <w:rsid w:val="00FB0BB9"/>
    <w:rsid w:val="00FB3555"/>
    <w:rsid w:val="00FC0C3E"/>
    <w:rsid w:val="00FD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D501A"/>
    <w:pPr>
      <w:spacing w:before="120" w:after="120"/>
    </w:pPr>
    <w:rPr>
      <w:rFonts w:ascii="Arial" w:hAnsi="Arial"/>
      <w:color w:val="000000" w:themeColor="text1"/>
    </w:rPr>
  </w:style>
  <w:style w:type="paragraph" w:customStyle="1" w:styleId="Tableheader">
    <w:name w:val="Table header"/>
    <w:basedOn w:val="TableText"/>
    <w:next w:val="TableText"/>
    <w:qFormat/>
    <w:rsid w:val="00FD501A"/>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FD501A"/>
    <w:pPr>
      <w:spacing w:before="120" w:after="120"/>
    </w:pPr>
    <w:rPr>
      <w:rFonts w:ascii="Arial" w:hAnsi="Arial"/>
      <w:color w:val="000000" w:themeColor="text1"/>
    </w:rPr>
  </w:style>
  <w:style w:type="paragraph" w:customStyle="1" w:styleId="Tableheader">
    <w:name w:val="Table header"/>
    <w:basedOn w:val="TableText"/>
    <w:next w:val="TableText"/>
    <w:qFormat/>
    <w:rsid w:val="00FD501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283</Words>
  <Characters>1483</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HEALCANCIA</cp:lastModifiedBy>
  <cp:revision>3</cp:revision>
  <dcterms:created xsi:type="dcterms:W3CDTF">2018-09-02T14:51:00Z</dcterms:created>
  <dcterms:modified xsi:type="dcterms:W3CDTF">2019-02-01T03:29:00Z</dcterms:modified>
</cp:coreProperties>
</file>