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F" w:rsidRDefault="002B1E2B" w:rsidP="002B1E2B">
      <w:pPr>
        <w:jc w:val="center"/>
        <w:rPr>
          <w:b/>
        </w:rPr>
      </w:pPr>
      <w:r w:rsidRPr="002B1E2B">
        <w:rPr>
          <w:b/>
        </w:rPr>
        <w:t xml:space="preserve">Readmissions Performance and Penalty Experience of Safety-Net Hospitals </w:t>
      </w:r>
      <w:r w:rsidR="00D23162" w:rsidRPr="002B1E2B">
        <w:rPr>
          <w:b/>
        </w:rPr>
        <w:t>under</w:t>
      </w:r>
      <w:r w:rsidRPr="002B1E2B">
        <w:rPr>
          <w:b/>
        </w:rPr>
        <w:t xml:space="preserve"> Medicare’s Hospital Readmissions Reduction Program</w:t>
      </w:r>
    </w:p>
    <w:p w:rsidR="002B1E2B" w:rsidRPr="002B1E2B" w:rsidRDefault="002B1E2B" w:rsidP="002B1E2B">
      <w:pPr>
        <w:jc w:val="center"/>
        <w:rPr>
          <w:b/>
        </w:rPr>
      </w:pPr>
    </w:p>
    <w:p w:rsidR="0002403C" w:rsidRPr="002B1E2B" w:rsidRDefault="002B1E2B" w:rsidP="002B1E2B">
      <w:pPr>
        <w:jc w:val="center"/>
        <w:rPr>
          <w:b/>
        </w:rPr>
      </w:pPr>
      <w:r>
        <w:rPr>
          <w:b/>
        </w:rPr>
        <w:t>A</w:t>
      </w:r>
      <w:r w:rsidR="00047D3C">
        <w:rPr>
          <w:b/>
        </w:rPr>
        <w:t>dditional file 1</w:t>
      </w:r>
      <w:bookmarkStart w:id="0" w:name="_GoBack"/>
      <w:bookmarkEnd w:id="0"/>
    </w:p>
    <w:p w:rsidR="0002403C" w:rsidRDefault="0002403C"/>
    <w:p w:rsidR="00DB0538" w:rsidRPr="00F004B4" w:rsidRDefault="00DB0538" w:rsidP="00DB0538">
      <w:pPr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004B4">
        <w:rPr>
          <w:rFonts w:eastAsia="Times New Roman" w:cs="Times New Roman"/>
          <w:b/>
          <w:bCs/>
          <w:color w:val="000000"/>
          <w:sz w:val="20"/>
          <w:szCs w:val="20"/>
        </w:rPr>
        <w:t>Table 1: Data collection and reporting dates for 30-day risk adjusted readmissions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430"/>
        <w:gridCol w:w="1890"/>
      </w:tblGrid>
      <w:tr w:rsidR="00DB0538" w:rsidRPr="00F004B4" w:rsidTr="00DB0538">
        <w:trPr>
          <w:jc w:val="center"/>
        </w:trPr>
        <w:tc>
          <w:tcPr>
            <w:tcW w:w="2515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Data collection period</w:t>
            </w:r>
          </w:p>
        </w:tc>
        <w:tc>
          <w:tcPr>
            <w:tcW w:w="2430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Data reporting period</w:t>
            </w:r>
          </w:p>
        </w:tc>
        <w:tc>
          <w:tcPr>
            <w:tcW w:w="1890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Analysis period</w:t>
            </w:r>
          </w:p>
        </w:tc>
      </w:tr>
      <w:tr w:rsidR="00DB0538" w:rsidRPr="00F004B4" w:rsidTr="00DB0538">
        <w:trPr>
          <w:trHeight w:val="305"/>
          <w:jc w:val="center"/>
        </w:trPr>
        <w:tc>
          <w:tcPr>
            <w:tcW w:w="2515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7/1/2005-6/30/2008</w:t>
            </w:r>
          </w:p>
        </w:tc>
        <w:tc>
          <w:tcPr>
            <w:tcW w:w="2430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Pre-period</w:t>
            </w:r>
          </w:p>
        </w:tc>
      </w:tr>
      <w:tr w:rsidR="00DB0538" w:rsidRPr="00F004B4" w:rsidTr="00DB0538">
        <w:trPr>
          <w:trHeight w:val="323"/>
          <w:jc w:val="center"/>
        </w:trPr>
        <w:tc>
          <w:tcPr>
            <w:tcW w:w="2515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7/1/2006-6/30/2009</w:t>
            </w:r>
          </w:p>
        </w:tc>
        <w:tc>
          <w:tcPr>
            <w:tcW w:w="2430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90" w:type="dxa"/>
            <w:vMerge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0538" w:rsidRPr="00F004B4" w:rsidTr="00DB0538">
        <w:trPr>
          <w:jc w:val="center"/>
        </w:trPr>
        <w:tc>
          <w:tcPr>
            <w:tcW w:w="2515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7/1/2007-6/30/2010</w:t>
            </w:r>
          </w:p>
        </w:tc>
        <w:tc>
          <w:tcPr>
            <w:tcW w:w="2430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Washout period</w:t>
            </w:r>
          </w:p>
        </w:tc>
      </w:tr>
      <w:tr w:rsidR="00DB0538" w:rsidRPr="00F004B4" w:rsidTr="00DB0538">
        <w:trPr>
          <w:jc w:val="center"/>
        </w:trPr>
        <w:tc>
          <w:tcPr>
            <w:tcW w:w="2515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7/1/2008-6/30/2011</w:t>
            </w:r>
          </w:p>
        </w:tc>
        <w:tc>
          <w:tcPr>
            <w:tcW w:w="2430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90" w:type="dxa"/>
            <w:vMerge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0538" w:rsidRPr="00F004B4" w:rsidTr="00DB0538">
        <w:trPr>
          <w:jc w:val="center"/>
        </w:trPr>
        <w:tc>
          <w:tcPr>
            <w:tcW w:w="2515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7/1/2009-6/30/2012</w:t>
            </w:r>
          </w:p>
        </w:tc>
        <w:tc>
          <w:tcPr>
            <w:tcW w:w="2430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90" w:type="dxa"/>
            <w:vMerge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0538" w:rsidRPr="00F004B4" w:rsidTr="00DB0538">
        <w:trPr>
          <w:jc w:val="center"/>
        </w:trPr>
        <w:tc>
          <w:tcPr>
            <w:tcW w:w="2515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7/1/2010-6/30/2013</w:t>
            </w:r>
          </w:p>
        </w:tc>
        <w:tc>
          <w:tcPr>
            <w:tcW w:w="2430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Post-period</w:t>
            </w:r>
          </w:p>
        </w:tc>
      </w:tr>
      <w:tr w:rsidR="00DB0538" w:rsidRPr="00F004B4" w:rsidTr="00DB0538">
        <w:trPr>
          <w:jc w:val="center"/>
        </w:trPr>
        <w:tc>
          <w:tcPr>
            <w:tcW w:w="2515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7/1/2011-6/30/2014</w:t>
            </w:r>
          </w:p>
        </w:tc>
        <w:tc>
          <w:tcPr>
            <w:tcW w:w="2430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vMerge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0538" w:rsidRPr="00F004B4" w:rsidTr="00DB0538">
        <w:trPr>
          <w:jc w:val="center"/>
        </w:trPr>
        <w:tc>
          <w:tcPr>
            <w:tcW w:w="2515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7/1/2012-6/30/2015</w:t>
            </w:r>
          </w:p>
        </w:tc>
        <w:tc>
          <w:tcPr>
            <w:tcW w:w="2430" w:type="dxa"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F004B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vMerge/>
            <w:shd w:val="clear" w:color="auto" w:fill="auto"/>
          </w:tcPr>
          <w:p w:rsidR="00DB0538" w:rsidRPr="00F004B4" w:rsidRDefault="00DB0538" w:rsidP="00DB0538">
            <w:pPr>
              <w:spacing w:after="160" w:line="259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B1E2B" w:rsidRDefault="002B1E2B"/>
    <w:p w:rsidR="002B1E2B" w:rsidRDefault="00B74C84">
      <w:r>
        <w:t>Note:</w:t>
      </w:r>
    </w:p>
    <w:p w:rsidR="00B74C84" w:rsidRDefault="00B74C84">
      <w:r>
        <w:t>1) The post-period for the pneumonia cohort ends in 2015, since the criteria for identifying pneumonia admission changed in 2016.</w:t>
      </w:r>
    </w:p>
    <w:p w:rsidR="00F004B4" w:rsidRDefault="00F004B4"/>
    <w:p w:rsidR="00F004B4" w:rsidRDefault="00F004B4">
      <w:r>
        <w:br w:type="page"/>
      </w:r>
    </w:p>
    <w:p w:rsidR="00F004B4" w:rsidRDefault="00F004B4"/>
    <w:p w:rsidR="00B179E2" w:rsidRDefault="00F004B4" w:rsidP="00B179E2">
      <w:pPr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31E4C">
        <w:rPr>
          <w:rFonts w:eastAsia="Times New Roman" w:cs="Times New Roman"/>
          <w:b/>
          <w:bCs/>
          <w:color w:val="000000"/>
          <w:sz w:val="20"/>
          <w:szCs w:val="20"/>
        </w:rPr>
        <w:t xml:space="preserve">Table </w:t>
      </w:r>
      <w:r w:rsidR="00331E4C" w:rsidRPr="00331E4C">
        <w:rPr>
          <w:rFonts w:eastAsia="Times New Roman" w:cs="Times New Roman"/>
          <w:b/>
          <w:bCs/>
          <w:color w:val="000000"/>
          <w:sz w:val="20"/>
          <w:szCs w:val="20"/>
        </w:rPr>
        <w:t>2</w:t>
      </w:r>
      <w:r w:rsidRPr="00331E4C">
        <w:rPr>
          <w:rFonts w:eastAsia="Times New Roman" w:cs="Times New Roman"/>
          <w:b/>
          <w:bCs/>
          <w:color w:val="000000"/>
          <w:sz w:val="20"/>
          <w:szCs w:val="20"/>
        </w:rPr>
        <w:t xml:space="preserve">: </w:t>
      </w:r>
      <w:r w:rsidR="00B179E2">
        <w:rPr>
          <w:rFonts w:eastAsia="Times New Roman" w:cs="Times New Roman"/>
          <w:b/>
          <w:bCs/>
          <w:color w:val="000000"/>
          <w:sz w:val="20"/>
          <w:szCs w:val="20"/>
        </w:rPr>
        <w:t>Validity of difference-in-differences model estimates of change in 30-day readmissions associated with HRRP: Parallel trends test</w:t>
      </w:r>
    </w:p>
    <w:p w:rsidR="00F004B4" w:rsidRPr="00331E4C" w:rsidRDefault="00F004B4" w:rsidP="00F004B4">
      <w:pPr>
        <w:rPr>
          <w:rFonts w:eastAsia="Times New Roman" w:cs="Times New Roman"/>
          <w:color w:val="000000"/>
          <w:sz w:val="16"/>
          <w:szCs w:val="16"/>
        </w:rPr>
      </w:pP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4120"/>
        <w:gridCol w:w="1480"/>
        <w:gridCol w:w="1160"/>
        <w:gridCol w:w="1180"/>
      </w:tblGrid>
      <w:tr w:rsidR="00F004B4" w:rsidRPr="00803E1A" w:rsidTr="00803E1A">
        <w:trPr>
          <w:trHeight w:val="426"/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Acute myocardial infarction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Heart failure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Pneumonia</w:t>
            </w:r>
          </w:p>
        </w:tc>
      </w:tr>
      <w:tr w:rsidR="00F004B4" w:rsidRPr="00803E1A" w:rsidTr="00803E1A">
        <w:trPr>
          <w:trHeight w:val="228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Safety-net hospitals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0.55***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1.08***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0.63***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(0.10)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Post 2010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0.05*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0.26***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0.20***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(0.03)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(0.02)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Safety-net hospitals x Post 2010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-0.09*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(0.06)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(0.05)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Teaching hospital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0.28**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0.30*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0.56***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(0.12)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Government non-federal  (ref: not-for-profit)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0.52***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0.30***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(0.11)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For-profit (ref: not-for-profit)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0.63***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0.33***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(0.10)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Bed size: 100-199 (ref: &lt;100)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0.24*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0.16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(0.10)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Bed size: &gt;=200 (ref: &lt;100)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0.16*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(0.10)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Midwest (ref: Northeast)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-0.38***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-0.76***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-0.58***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(0.12)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South (ref: Northeast)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-0.89***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-1.22***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-1.06***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(0.11)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West (ref: Northeast)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-1.21***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-1.65***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-1.44***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(0.11)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(0.15)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(0.12)</w:t>
            </w:r>
          </w:p>
        </w:tc>
      </w:tr>
      <w:tr w:rsidR="00F004B4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2,890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3,748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4B4" w:rsidRPr="00803E1A" w:rsidRDefault="00F004B4" w:rsidP="00B26371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/>
                <w:sz w:val="20"/>
                <w:szCs w:val="16"/>
              </w:rPr>
              <w:t>3,790</w:t>
            </w:r>
          </w:p>
        </w:tc>
      </w:tr>
    </w:tbl>
    <w:p w:rsidR="008323D0" w:rsidRDefault="008323D0" w:rsidP="008323D0">
      <w:pPr>
        <w:rPr>
          <w:rFonts w:cs="Times New Roman"/>
        </w:rPr>
      </w:pPr>
      <w:r>
        <w:rPr>
          <w:rFonts w:cs="Times New Roman"/>
        </w:rPr>
        <w:t>Notes:</w:t>
      </w:r>
    </w:p>
    <w:p w:rsidR="008323D0" w:rsidRPr="008323D0" w:rsidRDefault="008323D0" w:rsidP="008323D0">
      <w:pPr>
        <w:rPr>
          <w:rFonts w:cs="Times New Roman"/>
        </w:rPr>
      </w:pPr>
      <w:r>
        <w:rPr>
          <w:rFonts w:cs="Times New Roman"/>
        </w:rPr>
        <w:t xml:space="preserve">1) </w:t>
      </w:r>
      <w:r w:rsidRPr="008323D0">
        <w:rPr>
          <w:rFonts w:cs="Times New Roman"/>
        </w:rPr>
        <w:t>Safety-net hospitals: hospitals that fall in the top quartile of the Disproportionate Share Hospital (DSH) index; non-safety-net hospitals: hospitals in the bottom three quartiles of the DSH index.</w:t>
      </w:r>
    </w:p>
    <w:p w:rsidR="008323D0" w:rsidRPr="008323D0" w:rsidRDefault="008323D0" w:rsidP="008323D0">
      <w:pPr>
        <w:rPr>
          <w:rFonts w:cs="Times New Roman"/>
        </w:rPr>
      </w:pPr>
      <w:r>
        <w:rPr>
          <w:rFonts w:cs="Times New Roman"/>
        </w:rPr>
        <w:t xml:space="preserve">2) </w:t>
      </w:r>
      <w:r w:rsidRPr="008323D0">
        <w:rPr>
          <w:rFonts w:cs="Times New Roman"/>
        </w:rPr>
        <w:t>Estimates from random effects model reported; heteroscedasticity-robust standard errors clustered at the hospital level; model includes year dummies.</w:t>
      </w:r>
    </w:p>
    <w:p w:rsidR="008323D0" w:rsidRPr="008323D0" w:rsidRDefault="008323D0" w:rsidP="008323D0">
      <w:pPr>
        <w:rPr>
          <w:rFonts w:cs="Times New Roman"/>
        </w:rPr>
      </w:pPr>
      <w:r>
        <w:rPr>
          <w:rFonts w:cs="Times New Roman"/>
        </w:rPr>
        <w:t xml:space="preserve">3) </w:t>
      </w:r>
      <w:r w:rsidRPr="008323D0">
        <w:rPr>
          <w:rFonts w:cs="Times New Roman"/>
        </w:rPr>
        <w:t>* p&lt;0.10; ** p&lt;0.05; *** p&lt;0.01</w:t>
      </w:r>
    </w:p>
    <w:p w:rsidR="00F004B4" w:rsidRPr="00331E4C" w:rsidRDefault="008323D0" w:rsidP="008323D0">
      <w:pPr>
        <w:rPr>
          <w:rFonts w:cs="Times New Roman"/>
        </w:rPr>
      </w:pPr>
      <w:r>
        <w:rPr>
          <w:rFonts w:cs="Times New Roman"/>
        </w:rPr>
        <w:t xml:space="preserve">4) </w:t>
      </w:r>
      <w:r w:rsidRPr="008323D0">
        <w:rPr>
          <w:rFonts w:cs="Times New Roman"/>
        </w:rPr>
        <w:t>Standard errors in parenthesis.</w:t>
      </w:r>
    </w:p>
    <w:p w:rsidR="003951F3" w:rsidRDefault="003951F3">
      <w:r>
        <w:br w:type="page"/>
      </w:r>
    </w:p>
    <w:p w:rsidR="00F004B4" w:rsidRDefault="00F004B4"/>
    <w:p w:rsidR="00BB72E5" w:rsidRDefault="00BB72E5" w:rsidP="00BB72E5">
      <w:pPr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31E4C">
        <w:rPr>
          <w:rFonts w:eastAsia="Times New Roman" w:cs="Times New Roman"/>
          <w:b/>
          <w:bCs/>
          <w:color w:val="000000"/>
          <w:sz w:val="20"/>
          <w:szCs w:val="20"/>
        </w:rPr>
        <w:t xml:space="preserve">Table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3</w:t>
      </w:r>
      <w:r w:rsidRPr="00331E4C">
        <w:rPr>
          <w:rFonts w:eastAsia="Times New Roman" w:cs="Times New Roman"/>
          <w:b/>
          <w:bCs/>
          <w:color w:val="000000"/>
          <w:sz w:val="20"/>
          <w:szCs w:val="20"/>
        </w:rPr>
        <w:t xml:space="preserve">: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Difference-in-differences model estimates of change in 30-day readmissions associated with HRRP: Main model estimates</w:t>
      </w:r>
    </w:p>
    <w:p w:rsidR="003951F3" w:rsidRPr="003951F3" w:rsidRDefault="003951F3" w:rsidP="003951F3">
      <w:pPr>
        <w:ind w:right="3960"/>
        <w:rPr>
          <w:rFonts w:eastAsia="Times New Roman" w:cs="Times New Roman"/>
          <w:bCs/>
          <w:color w:val="000000" w:themeColor="text1"/>
          <w:sz w:val="16"/>
          <w:szCs w:val="16"/>
        </w:rPr>
      </w:pP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4120"/>
        <w:gridCol w:w="1440"/>
        <w:gridCol w:w="1360"/>
        <w:gridCol w:w="1180"/>
      </w:tblGrid>
      <w:tr w:rsidR="003951F3" w:rsidRPr="00803E1A" w:rsidTr="00803E1A">
        <w:trPr>
          <w:trHeight w:val="426"/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1F3" w:rsidRPr="00803E1A" w:rsidRDefault="003951F3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Acute myocardial infarction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Heart failure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Pneumonia</w:t>
            </w:r>
          </w:p>
        </w:tc>
      </w:tr>
      <w:tr w:rsidR="003951F3" w:rsidRPr="00803E1A" w:rsidTr="00803E1A">
        <w:trPr>
          <w:trHeight w:val="228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F3" w:rsidRPr="00803E1A" w:rsidRDefault="003951F3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Safety-net hospitals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0.49***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1.01***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0.59***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F3" w:rsidRPr="00803E1A" w:rsidRDefault="003F5831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Post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-2.97***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-2.42***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-0.76***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(0.04)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F3" w:rsidRPr="00803E1A" w:rsidRDefault="003F5831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Safety-net hospitals x Post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-0.23***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Teaching hospital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0.24***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0.43***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Government non-federal  (ref: not-for-profit)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0.30***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0.10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For-profit (ref: not-for-profit)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0.24***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0.54***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0.25***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(0.07)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Bed size: 100-199 (ref: &lt;100)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0.18**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0.17*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0.14**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(0.07)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Bed size: &gt;=200 (ref: &lt;100)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0.15*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0.16**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(0.07)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Midwest (ref: Northeast)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-0.29***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-0.79***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-0.39***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South (ref: Northeast)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-0.51***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-0.90***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-0.69***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West (ref: Northeast)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-0.80***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-1.34***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-1.04***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(0.11)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</w:tr>
      <w:tr w:rsidR="003951F3" w:rsidRPr="00803E1A" w:rsidTr="00803E1A">
        <w:trPr>
          <w:trHeight w:val="210"/>
          <w:jc w:val="center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1F3" w:rsidRPr="00803E1A" w:rsidRDefault="003951F3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7225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9370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1F3" w:rsidRPr="00803E1A" w:rsidRDefault="003951F3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7580</w:t>
            </w:r>
          </w:p>
        </w:tc>
      </w:tr>
    </w:tbl>
    <w:p w:rsidR="003951F3" w:rsidRDefault="003951F3"/>
    <w:p w:rsidR="008323D0" w:rsidRDefault="008323D0">
      <w:r>
        <w:t>Notes:</w:t>
      </w:r>
    </w:p>
    <w:p w:rsidR="008323D0" w:rsidRDefault="008323D0" w:rsidP="008323D0">
      <w:r>
        <w:t>1) Safety-net hospitals: hospitals that fall in the top quartile of the Disproportionate Share Hospital (DSH) index; non-safety-net hospitals: hospitals in the bottom three quartiles of the DSH index.</w:t>
      </w:r>
    </w:p>
    <w:p w:rsidR="008323D0" w:rsidRDefault="008323D0" w:rsidP="008323D0">
      <w:r>
        <w:t>2) Estimates from random effects model reported; heteroscedasticity-robust standard errors clustered at the hospital level; model includes year dummies.</w:t>
      </w:r>
    </w:p>
    <w:p w:rsidR="008323D0" w:rsidRDefault="008323D0" w:rsidP="008323D0">
      <w:r>
        <w:t>3) * p&lt;0.10; ** p&lt;0.05; *** p&lt;0.01</w:t>
      </w:r>
    </w:p>
    <w:p w:rsidR="008323D0" w:rsidRDefault="008323D0" w:rsidP="008323D0">
      <w:r>
        <w:t>4) Standard errors in parenthesis.</w:t>
      </w:r>
    </w:p>
    <w:p w:rsidR="007354EB" w:rsidRDefault="007354EB">
      <w:r>
        <w:br w:type="page"/>
      </w:r>
    </w:p>
    <w:p w:rsidR="003951F3" w:rsidRDefault="003951F3"/>
    <w:p w:rsidR="007354EB" w:rsidRPr="007354EB" w:rsidRDefault="007354EB" w:rsidP="007354EB">
      <w:pPr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7354EB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Table </w:t>
      </w:r>
      <w:r w:rsidR="00D00B66">
        <w:rPr>
          <w:rFonts w:eastAsia="Times New Roman" w:cs="Times New Roman"/>
          <w:b/>
          <w:bCs/>
          <w:color w:val="000000" w:themeColor="text1"/>
          <w:sz w:val="20"/>
          <w:szCs w:val="20"/>
        </w:rPr>
        <w:t>4</w:t>
      </w:r>
      <w:r w:rsidRPr="007354EB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="00C152B7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Sensitivity Analysis: </w:t>
      </w:r>
      <w:r w:rsidR="00BB72E5">
        <w:rPr>
          <w:rFonts w:eastAsia="Times New Roman" w:cs="Times New Roman"/>
          <w:b/>
          <w:bCs/>
          <w:color w:val="000000" w:themeColor="text1"/>
          <w:sz w:val="20"/>
          <w:szCs w:val="20"/>
        </w:rPr>
        <w:t>Difference-in-difference model estimates</w:t>
      </w:r>
      <w:r w:rsidR="003E7F13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of change in 30-day readmission rates</w:t>
      </w:r>
      <w:r w:rsidR="00BB72E5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using a</w:t>
      </w:r>
      <w:r w:rsidR="00C152B7">
        <w:rPr>
          <w:rFonts w:eastAsia="Times New Roman" w:cs="Times New Roman"/>
          <w:b/>
          <w:bCs/>
          <w:color w:val="000000" w:themeColor="text1"/>
          <w:sz w:val="20"/>
          <w:szCs w:val="20"/>
        </w:rPr>
        <w:t>lternative definition of safety-net hospitals u</w:t>
      </w:r>
      <w:r w:rsidRPr="007354EB">
        <w:rPr>
          <w:rFonts w:eastAsia="Times New Roman" w:cs="Times New Roman"/>
          <w:b/>
          <w:bCs/>
          <w:color w:val="000000" w:themeColor="text1"/>
          <w:sz w:val="20"/>
          <w:szCs w:val="20"/>
        </w:rPr>
        <w:t>sing Medi</w:t>
      </w:r>
      <w:r w:rsidR="00C152B7">
        <w:rPr>
          <w:rFonts w:eastAsia="Times New Roman" w:cs="Times New Roman"/>
          <w:b/>
          <w:bCs/>
          <w:color w:val="000000" w:themeColor="text1"/>
          <w:sz w:val="20"/>
          <w:szCs w:val="20"/>
        </w:rPr>
        <w:t>caid share inpatient days</w:t>
      </w:r>
    </w:p>
    <w:p w:rsidR="007354EB" w:rsidRPr="007354EB" w:rsidRDefault="007354EB" w:rsidP="007354EB">
      <w:pPr>
        <w:ind w:right="2070"/>
        <w:rPr>
          <w:rFonts w:eastAsia="Times New Roman" w:cs="Times New Roman"/>
          <w:bCs/>
          <w:color w:val="000000" w:themeColor="text1"/>
          <w:sz w:val="16"/>
          <w:szCs w:val="16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4480"/>
        <w:gridCol w:w="1440"/>
        <w:gridCol w:w="1360"/>
        <w:gridCol w:w="1180"/>
      </w:tblGrid>
      <w:tr w:rsidR="007354EB" w:rsidRPr="00803E1A" w:rsidTr="00803E1A">
        <w:trPr>
          <w:trHeight w:val="426"/>
          <w:jc w:val="center"/>
        </w:trPr>
        <w:tc>
          <w:tcPr>
            <w:tcW w:w="4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Acute myocardial infarction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Heart failure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Pneumonia</w:t>
            </w:r>
          </w:p>
        </w:tc>
      </w:tr>
      <w:tr w:rsidR="007354EB" w:rsidRPr="00803E1A" w:rsidTr="00803E1A">
        <w:trPr>
          <w:trHeight w:val="22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Safety-net hospitals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0.23***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0.59***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0.26***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Post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-2.97***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-2.41***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-1.19***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(0.04)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Safety-net hospitals x Post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-0.20**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Teaching hospital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0.32***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0.33***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0.53***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Government non-federal  (ref: not-for-profit)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0.15*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0.32***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0.14*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For-profit (ref: not-for-profit)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0.28***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0.66***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0.30***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(0.07)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Bed size: 100-199 (ref: &lt;100)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0.20**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0.17*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0.15**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(0.07)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Bed size: &gt;=200 (ref: &lt;100)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0.21**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0.19***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(0.07)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Midwest (ref: Northeast)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-0.32***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-0.82***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-0.40***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South (ref: Northeast)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-0.49***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-0.84***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-0.66***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West (ref: Northeast)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-0.75***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-1.21***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-0.96***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(0.08)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(0.11)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(0.09)</w:t>
            </w:r>
          </w:p>
        </w:tc>
      </w:tr>
      <w:tr w:rsidR="007354EB" w:rsidRPr="00803E1A" w:rsidTr="00803E1A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4EB" w:rsidRPr="00803E1A" w:rsidRDefault="007354EB" w:rsidP="00B26371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7225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9370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EB" w:rsidRPr="00803E1A" w:rsidRDefault="007354EB" w:rsidP="00B2637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7580</w:t>
            </w:r>
          </w:p>
        </w:tc>
      </w:tr>
    </w:tbl>
    <w:p w:rsidR="007354EB" w:rsidRDefault="007354EB" w:rsidP="008323D0">
      <w:pPr>
        <w:rPr>
          <w:rFonts w:cs="Times New Roman"/>
          <w:color w:val="000000" w:themeColor="text1"/>
        </w:rPr>
      </w:pPr>
    </w:p>
    <w:p w:rsidR="008323D0" w:rsidRDefault="008323D0" w:rsidP="008323D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Notes:</w:t>
      </w:r>
    </w:p>
    <w:p w:rsidR="008323D0" w:rsidRPr="008323D0" w:rsidRDefault="008323D0" w:rsidP="008323D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1) </w:t>
      </w:r>
      <w:r w:rsidRPr="008323D0">
        <w:rPr>
          <w:rFonts w:cs="Times New Roman"/>
          <w:color w:val="000000" w:themeColor="text1"/>
        </w:rPr>
        <w:t>Safety-net hospitals: hospitals that fall in the top quartile of Medicaid share inpatient days; non-safety-net hospitals: hospitals in the bottom three quartiles of the Medicaid share inpatient days.</w:t>
      </w:r>
    </w:p>
    <w:p w:rsidR="008323D0" w:rsidRPr="008323D0" w:rsidRDefault="008323D0" w:rsidP="008323D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2) </w:t>
      </w:r>
      <w:r w:rsidR="00C152B7">
        <w:rPr>
          <w:rFonts w:cs="Times New Roman"/>
          <w:color w:val="000000" w:themeColor="text1"/>
        </w:rPr>
        <w:t xml:space="preserve">Models estimated are similar to that in Table 3. </w:t>
      </w:r>
      <w:r w:rsidRPr="008323D0">
        <w:rPr>
          <w:rFonts w:cs="Times New Roman"/>
          <w:color w:val="000000" w:themeColor="text1"/>
        </w:rPr>
        <w:t>Estimates from random effects model reported; heteroscedasticity-robust standard errors clustered at the hospital level; model includes year dummies.</w:t>
      </w:r>
    </w:p>
    <w:p w:rsidR="008323D0" w:rsidRPr="008323D0" w:rsidRDefault="008323D0" w:rsidP="008323D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3) </w:t>
      </w:r>
      <w:r w:rsidRPr="008323D0">
        <w:rPr>
          <w:rFonts w:cs="Times New Roman"/>
          <w:color w:val="000000" w:themeColor="text1"/>
        </w:rPr>
        <w:t>* p&lt;0.10; ** p&lt;0.05; *** p&lt;0.01</w:t>
      </w:r>
    </w:p>
    <w:p w:rsidR="007354EB" w:rsidRDefault="008323D0" w:rsidP="00C152B7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4) </w:t>
      </w:r>
      <w:r w:rsidR="00C152B7">
        <w:rPr>
          <w:rFonts w:cs="Times New Roman"/>
          <w:color w:val="000000" w:themeColor="text1"/>
        </w:rPr>
        <w:t>Standard errors in parenthesis.</w:t>
      </w:r>
    </w:p>
    <w:p w:rsidR="00C152B7" w:rsidRDefault="00C152B7" w:rsidP="00C152B7">
      <w:pPr>
        <w:rPr>
          <w:rFonts w:cs="Times New Roman"/>
          <w:color w:val="000000" w:themeColor="text1"/>
        </w:rPr>
      </w:pPr>
    </w:p>
    <w:p w:rsidR="00C152B7" w:rsidRDefault="00C152B7" w:rsidP="00C152B7">
      <w:pPr>
        <w:rPr>
          <w:rFonts w:cs="Times New Roman"/>
          <w:color w:val="000000" w:themeColor="text1"/>
        </w:rPr>
      </w:pPr>
    </w:p>
    <w:p w:rsidR="00C152B7" w:rsidRDefault="00C152B7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:rsidR="00C152B7" w:rsidRDefault="00C152B7" w:rsidP="00C152B7">
      <w:pPr>
        <w:rPr>
          <w:rFonts w:cs="Times New Roman"/>
          <w:color w:val="000000" w:themeColor="text1"/>
        </w:rPr>
      </w:pPr>
    </w:p>
    <w:p w:rsidR="00C152B7" w:rsidRDefault="00C152B7" w:rsidP="00C152B7">
      <w:pPr>
        <w:rPr>
          <w:rFonts w:cs="Times New Roman"/>
          <w:color w:val="000000" w:themeColor="text1"/>
        </w:rPr>
      </w:pPr>
    </w:p>
    <w:p w:rsidR="00C152B7" w:rsidRDefault="00C152B7" w:rsidP="00C152B7"/>
    <w:p w:rsidR="00C152B7" w:rsidRPr="007354EB" w:rsidRDefault="00C152B7" w:rsidP="00C152B7">
      <w:pPr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7354EB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Table </w:t>
      </w:r>
      <w:r w:rsidR="00AC0900">
        <w:rPr>
          <w:rFonts w:eastAsia="Times New Roman" w:cs="Times New Roman"/>
          <w:b/>
          <w:bCs/>
          <w:color w:val="000000" w:themeColor="text1"/>
          <w:sz w:val="20"/>
          <w:szCs w:val="20"/>
        </w:rPr>
        <w:t>5</w:t>
      </w:r>
      <w:r w:rsidRPr="007354EB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Sensitivity Analysis: </w:t>
      </w:r>
      <w:r w:rsidR="00BB72E5">
        <w:rPr>
          <w:rFonts w:eastAsia="Times New Roman" w:cs="Times New Roman"/>
          <w:b/>
          <w:bCs/>
          <w:color w:val="000000" w:themeColor="text1"/>
          <w:sz w:val="20"/>
          <w:szCs w:val="20"/>
        </w:rPr>
        <w:t>Difference-in-difference model estimates</w:t>
      </w:r>
      <w:r w:rsidR="003E7F13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of change in 30-day readmission rates</w:t>
      </w:r>
      <w:r w:rsidR="00BB72E5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using h</w:t>
      </w:r>
      <w:r>
        <w:rPr>
          <w:rFonts w:eastAsia="Times New Roman" w:cs="Times New Roman"/>
          <w:b/>
          <w:bCs/>
          <w:color w:val="000000" w:themeColor="text1"/>
          <w:sz w:val="20"/>
          <w:szCs w:val="20"/>
        </w:rPr>
        <w:t>ospital fixed effects specification</w:t>
      </w:r>
    </w:p>
    <w:p w:rsidR="00C152B7" w:rsidRPr="007354EB" w:rsidRDefault="00C152B7" w:rsidP="00C152B7">
      <w:pPr>
        <w:ind w:right="2070"/>
        <w:rPr>
          <w:rFonts w:eastAsia="Times New Roman" w:cs="Times New Roman"/>
          <w:bCs/>
          <w:color w:val="000000" w:themeColor="text1"/>
          <w:sz w:val="16"/>
          <w:szCs w:val="16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4480"/>
        <w:gridCol w:w="1440"/>
        <w:gridCol w:w="1360"/>
        <w:gridCol w:w="1180"/>
      </w:tblGrid>
      <w:tr w:rsidR="00C152B7" w:rsidRPr="00803E1A" w:rsidTr="002C0E7C">
        <w:trPr>
          <w:trHeight w:val="426"/>
          <w:jc w:val="center"/>
        </w:trPr>
        <w:tc>
          <w:tcPr>
            <w:tcW w:w="4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2B7" w:rsidRPr="00803E1A" w:rsidRDefault="00C152B7" w:rsidP="002C0E7C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152B7" w:rsidRPr="00803E1A" w:rsidRDefault="00C152B7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Acute myocardial infarction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2B7" w:rsidRPr="00803E1A" w:rsidRDefault="00C152B7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Heart failure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2B7" w:rsidRPr="00803E1A" w:rsidRDefault="00C152B7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Pneumonia</w:t>
            </w:r>
          </w:p>
        </w:tc>
      </w:tr>
      <w:tr w:rsidR="00C152B7" w:rsidRPr="00803E1A" w:rsidTr="002C0E7C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2B7" w:rsidRPr="00803E1A" w:rsidRDefault="00C152B7" w:rsidP="002C0E7C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Post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AC7E79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cs="Times New Roman"/>
                <w:color w:val="000000" w:themeColor="text1"/>
                <w:sz w:val="20"/>
                <w:szCs w:val="16"/>
              </w:rPr>
              <w:t>-2.99</w:t>
            </w:r>
            <w:r w:rsidR="00C152B7" w:rsidRPr="00803E1A">
              <w:rPr>
                <w:rFonts w:cs="Times New Roman"/>
                <w:color w:val="000000" w:themeColor="text1"/>
                <w:sz w:val="20"/>
                <w:szCs w:val="16"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AC7E79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cs="Times New Roman"/>
                <w:color w:val="000000" w:themeColor="text1"/>
                <w:sz w:val="20"/>
                <w:szCs w:val="16"/>
              </w:rPr>
              <w:t>-2.43</w:t>
            </w:r>
            <w:r w:rsidR="00C152B7" w:rsidRPr="00803E1A">
              <w:rPr>
                <w:rFonts w:cs="Times New Roman"/>
                <w:color w:val="000000" w:themeColor="text1"/>
                <w:sz w:val="20"/>
                <w:szCs w:val="16"/>
              </w:rPr>
              <w:t>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AC7E79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cs="Times New Roman"/>
                <w:color w:val="000000" w:themeColor="text1"/>
                <w:sz w:val="20"/>
                <w:szCs w:val="16"/>
              </w:rPr>
              <w:t>-1.18</w:t>
            </w:r>
            <w:r w:rsidR="00C152B7" w:rsidRPr="00803E1A">
              <w:rPr>
                <w:rFonts w:cs="Times New Roman"/>
                <w:color w:val="000000" w:themeColor="text1"/>
                <w:sz w:val="20"/>
                <w:szCs w:val="16"/>
              </w:rPr>
              <w:t>***</w:t>
            </w:r>
          </w:p>
        </w:tc>
      </w:tr>
      <w:tr w:rsidR="00C152B7" w:rsidRPr="00803E1A" w:rsidTr="002C0E7C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2B7" w:rsidRPr="00803E1A" w:rsidRDefault="00C152B7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C152B7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AC7E79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cs="Times New Roman"/>
                <w:color w:val="000000" w:themeColor="text1"/>
                <w:sz w:val="20"/>
                <w:szCs w:val="16"/>
              </w:rPr>
              <w:t>(0.05</w:t>
            </w:r>
            <w:r w:rsidR="00C152B7" w:rsidRPr="00803E1A">
              <w:rPr>
                <w:rFonts w:cs="Times New Roman"/>
                <w:color w:val="000000" w:themeColor="text1"/>
                <w:sz w:val="20"/>
                <w:szCs w:val="16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C152B7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(0.04)</w:t>
            </w:r>
          </w:p>
        </w:tc>
      </w:tr>
      <w:tr w:rsidR="00C152B7" w:rsidRPr="00803E1A" w:rsidTr="002C0E7C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2B7" w:rsidRPr="00803E1A" w:rsidRDefault="00C152B7" w:rsidP="002C0E7C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Safety-net hospitals x Post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AC7E79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cs="Times New Roman"/>
                <w:color w:val="000000" w:themeColor="text1"/>
                <w:sz w:val="20"/>
                <w:szCs w:val="16"/>
              </w:rPr>
              <w:t>0.003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AC7E79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cs="Times New Roman"/>
                <w:color w:val="000000" w:themeColor="text1"/>
                <w:sz w:val="20"/>
                <w:szCs w:val="16"/>
              </w:rPr>
              <w:t>-0.08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AC7E79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cs="Times New Roman"/>
                <w:color w:val="000000" w:themeColor="text1"/>
                <w:sz w:val="20"/>
                <w:szCs w:val="16"/>
              </w:rPr>
              <w:t>-0.21</w:t>
            </w:r>
            <w:r w:rsidR="00C152B7" w:rsidRPr="00803E1A">
              <w:rPr>
                <w:rFonts w:cs="Times New Roman"/>
                <w:color w:val="000000" w:themeColor="text1"/>
                <w:sz w:val="20"/>
                <w:szCs w:val="16"/>
              </w:rPr>
              <w:t>**</w:t>
            </w:r>
          </w:p>
        </w:tc>
      </w:tr>
      <w:tr w:rsidR="00C152B7" w:rsidRPr="00803E1A" w:rsidTr="002C0E7C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2B7" w:rsidRPr="00803E1A" w:rsidRDefault="00C152B7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AC7E79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cs="Times New Roman"/>
                <w:color w:val="000000" w:themeColor="text1"/>
                <w:sz w:val="20"/>
                <w:szCs w:val="16"/>
              </w:rPr>
              <w:t>(0.07</w:t>
            </w:r>
            <w:r w:rsidR="00C152B7" w:rsidRPr="00803E1A">
              <w:rPr>
                <w:rFonts w:cs="Times New Roman"/>
                <w:color w:val="000000" w:themeColor="text1"/>
                <w:sz w:val="20"/>
                <w:szCs w:val="16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AC7E79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cs="Times New Roman"/>
                <w:color w:val="000000" w:themeColor="text1"/>
                <w:sz w:val="20"/>
                <w:szCs w:val="16"/>
              </w:rPr>
              <w:t>(0.08</w:t>
            </w:r>
            <w:r w:rsidR="00C152B7" w:rsidRPr="00803E1A">
              <w:rPr>
                <w:rFonts w:cs="Times New Roman"/>
                <w:color w:val="000000" w:themeColor="text1"/>
                <w:sz w:val="20"/>
                <w:szCs w:val="16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AC7E79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cs="Times New Roman"/>
                <w:color w:val="000000" w:themeColor="text1"/>
                <w:sz w:val="20"/>
                <w:szCs w:val="16"/>
              </w:rPr>
              <w:t>(0.07</w:t>
            </w:r>
            <w:r w:rsidR="00C152B7" w:rsidRPr="00803E1A">
              <w:rPr>
                <w:rFonts w:cs="Times New Roman"/>
                <w:color w:val="000000" w:themeColor="text1"/>
                <w:sz w:val="20"/>
                <w:szCs w:val="16"/>
              </w:rPr>
              <w:t>)</w:t>
            </w:r>
          </w:p>
        </w:tc>
      </w:tr>
      <w:tr w:rsidR="00C152B7" w:rsidRPr="00803E1A" w:rsidTr="002C0E7C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B7" w:rsidRPr="00803E1A" w:rsidRDefault="00C152B7" w:rsidP="002C0E7C">
            <w:pPr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eastAsia="Times New Roman" w:cs="Times New Roman"/>
                <w:color w:val="000000" w:themeColor="text1"/>
                <w:sz w:val="20"/>
                <w:szCs w:val="16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C152B7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7225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C152B7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9370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B7" w:rsidRPr="00803E1A" w:rsidRDefault="00C152B7" w:rsidP="002C0E7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16"/>
              </w:rPr>
            </w:pPr>
            <w:r w:rsidRPr="00803E1A">
              <w:rPr>
                <w:rFonts w:cs="Times New Roman"/>
                <w:color w:val="000000" w:themeColor="text1"/>
                <w:sz w:val="20"/>
                <w:szCs w:val="16"/>
              </w:rPr>
              <w:t>7580</w:t>
            </w:r>
          </w:p>
        </w:tc>
      </w:tr>
    </w:tbl>
    <w:p w:rsidR="00C152B7" w:rsidRDefault="00C152B7" w:rsidP="00C152B7">
      <w:pPr>
        <w:rPr>
          <w:rFonts w:cs="Times New Roman"/>
          <w:color w:val="000000" w:themeColor="text1"/>
        </w:rPr>
      </w:pPr>
    </w:p>
    <w:p w:rsidR="00C152B7" w:rsidRDefault="00C152B7" w:rsidP="00C152B7">
      <w:r>
        <w:t>Notes:</w:t>
      </w:r>
    </w:p>
    <w:p w:rsidR="00C152B7" w:rsidRDefault="00C152B7" w:rsidP="00C152B7">
      <w:r>
        <w:t>1) Models similar to that in Table 3 are estimated now with hospital-level fixed effects specification.</w:t>
      </w:r>
    </w:p>
    <w:p w:rsidR="00AC7E79" w:rsidRDefault="00AC7E79" w:rsidP="00C152B7">
      <w:r>
        <w:t xml:space="preserve">2) Note that hospital-level covariates (e.g., </w:t>
      </w:r>
      <w:r w:rsidR="005F45E6">
        <w:t xml:space="preserve">safety-net hospital status, </w:t>
      </w:r>
      <w:r>
        <w:t>teaching hospital, region) are excluded as they are time-invariant.</w:t>
      </w:r>
    </w:p>
    <w:p w:rsidR="00C152B7" w:rsidRDefault="00AC7E79" w:rsidP="00C152B7">
      <w:r>
        <w:t>3</w:t>
      </w:r>
      <w:r w:rsidR="00C152B7">
        <w:t>) * p&lt;0.10; ** p&lt;0.05; *** p&lt;0.01</w:t>
      </w:r>
    </w:p>
    <w:p w:rsidR="00C152B7" w:rsidRDefault="00AC7E79" w:rsidP="00C152B7">
      <w:r>
        <w:t>4</w:t>
      </w:r>
      <w:r w:rsidR="00C152B7">
        <w:t>) Standard errors in parenthesis.</w:t>
      </w:r>
    </w:p>
    <w:p w:rsidR="00C152B7" w:rsidRDefault="00C152B7" w:rsidP="00C152B7">
      <w:pPr>
        <w:rPr>
          <w:rFonts w:cs="Times New Roman"/>
          <w:color w:val="000000" w:themeColor="text1"/>
        </w:rPr>
      </w:pPr>
    </w:p>
    <w:p w:rsidR="00C152B7" w:rsidRDefault="00C152B7" w:rsidP="00C152B7">
      <w:pPr>
        <w:rPr>
          <w:rFonts w:cs="Times New Roman"/>
          <w:color w:val="000000" w:themeColor="text1"/>
        </w:rPr>
      </w:pPr>
    </w:p>
    <w:p w:rsidR="00C152B7" w:rsidRDefault="00C152B7" w:rsidP="00C152B7">
      <w:pPr>
        <w:ind w:left="720"/>
        <w:rPr>
          <w:rFonts w:cs="Times New Roman"/>
          <w:color w:val="000000" w:themeColor="text1"/>
        </w:rPr>
      </w:pPr>
    </w:p>
    <w:p w:rsidR="00C152B7" w:rsidRPr="007354EB" w:rsidRDefault="00C152B7" w:rsidP="00C152B7">
      <w:pPr>
        <w:ind w:left="720"/>
        <w:rPr>
          <w:rFonts w:cs="Times New Roman"/>
          <w:color w:val="000000" w:themeColor="text1"/>
        </w:rPr>
        <w:sectPr w:rsidR="00C152B7" w:rsidRPr="007354EB" w:rsidSect="0097230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23D0" w:rsidRPr="008323D0" w:rsidRDefault="008323D0" w:rsidP="008323D0">
      <w:pPr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8323D0"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Figure 3: Distribution of number of years of penalty under HRRP by safety-net status, 2013-2016</w:t>
      </w:r>
    </w:p>
    <w:p w:rsidR="008323D0" w:rsidRPr="008323D0" w:rsidRDefault="008323D0" w:rsidP="008323D0">
      <w:pPr>
        <w:rPr>
          <w:rFonts w:cs="Times New Roman"/>
          <w:sz w:val="16"/>
          <w:szCs w:val="16"/>
        </w:rPr>
      </w:pPr>
    </w:p>
    <w:p w:rsidR="008323D0" w:rsidRPr="008323D0" w:rsidRDefault="008323D0" w:rsidP="008323D0">
      <w:pPr>
        <w:jc w:val="center"/>
        <w:rPr>
          <w:rFonts w:cs="Times New Roman"/>
          <w:sz w:val="16"/>
          <w:szCs w:val="16"/>
        </w:rPr>
      </w:pPr>
      <w:r w:rsidRPr="008323D0">
        <w:rPr>
          <w:rFonts w:cs="Times New Roman"/>
          <w:noProof/>
          <w:lang w:val="en-PH" w:eastAsia="en-PH"/>
        </w:rPr>
        <w:drawing>
          <wp:inline distT="0" distB="0" distL="0" distR="0" wp14:anchorId="42B03F1D" wp14:editId="7E720B1B">
            <wp:extent cx="3413823" cy="249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16" cy="2500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354EB" w:rsidRDefault="008323D0">
      <w:pPr>
        <w:rPr>
          <w:rFonts w:cs="Times New Roman"/>
        </w:rPr>
      </w:pPr>
      <w:r>
        <w:rPr>
          <w:rFonts w:cs="Times New Roman"/>
        </w:rPr>
        <w:t>Notes:</w:t>
      </w:r>
    </w:p>
    <w:p w:rsidR="008323D0" w:rsidRPr="008323D0" w:rsidRDefault="008323D0" w:rsidP="008323D0">
      <w:pPr>
        <w:rPr>
          <w:rFonts w:cs="Times New Roman"/>
        </w:rPr>
      </w:pPr>
      <w:r>
        <w:rPr>
          <w:rFonts w:cs="Times New Roman"/>
        </w:rPr>
        <w:t xml:space="preserve">1) </w:t>
      </w:r>
      <w:r w:rsidRPr="008323D0">
        <w:rPr>
          <w:rFonts w:cs="Times New Roman"/>
        </w:rPr>
        <w:t>Safety-net hospitals: hospitals that fall in the top quartile of the Disproportionate Share Hospital (DSH) index; non-safety-net hospitals: hospitals in the bottom three quartiles of the DSH index.</w:t>
      </w:r>
    </w:p>
    <w:p w:rsidR="008323D0" w:rsidRPr="008323D0" w:rsidRDefault="008323D0" w:rsidP="008323D0">
      <w:pPr>
        <w:rPr>
          <w:rFonts w:cs="Times New Roman"/>
        </w:rPr>
      </w:pPr>
      <w:r>
        <w:rPr>
          <w:rFonts w:cs="Times New Roman"/>
        </w:rPr>
        <w:t xml:space="preserve">2) </w:t>
      </w:r>
      <w:r w:rsidRPr="008323D0">
        <w:rPr>
          <w:rFonts w:cs="Times New Roman"/>
        </w:rPr>
        <w:t>Mean number of years of penalty under HRRP for safety-net hospitals: 3.50 (CI: 3.45, 3.54); non-safety-net hospitals: 3.17 (CI: 3.14, 3.20); difference: 0.33 (p-value &lt;0.001).</w:t>
      </w:r>
    </w:p>
    <w:p w:rsidR="007354EB" w:rsidRDefault="007354EB"/>
    <w:p w:rsidR="007354EB" w:rsidRDefault="007354EB"/>
    <w:p w:rsidR="007354EB" w:rsidRDefault="007354EB"/>
    <w:p w:rsidR="007354EB" w:rsidRDefault="007354EB"/>
    <w:p w:rsidR="003951F3" w:rsidRDefault="003951F3"/>
    <w:p w:rsidR="0002403C" w:rsidRDefault="0002403C"/>
    <w:sectPr w:rsidR="0002403C" w:rsidSect="0097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20" w:rsidRDefault="00BF3F20">
      <w:r>
        <w:separator/>
      </w:r>
    </w:p>
  </w:endnote>
  <w:endnote w:type="continuationSeparator" w:id="0">
    <w:p w:rsidR="00BF3F20" w:rsidRDefault="00B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360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27E" w:rsidRDefault="00C202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BED" w:rsidRDefault="00BF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20" w:rsidRDefault="00BF3F20">
      <w:r>
        <w:separator/>
      </w:r>
    </w:p>
  </w:footnote>
  <w:footnote w:type="continuationSeparator" w:id="0">
    <w:p w:rsidR="00BF3F20" w:rsidRDefault="00BF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sDQ0MDIzMTSytDBX0lEKTi0uzszPAykwrQUAnsqJmCwAAAA="/>
    <w:docVar w:name="Total_Editing_Time" w:val="28"/>
  </w:docVars>
  <w:rsids>
    <w:rsidRoot w:val="0002403C"/>
    <w:rsid w:val="0001235B"/>
    <w:rsid w:val="0002226F"/>
    <w:rsid w:val="0002403C"/>
    <w:rsid w:val="00047D3C"/>
    <w:rsid w:val="00062187"/>
    <w:rsid w:val="000D5B0E"/>
    <w:rsid w:val="002B1E2B"/>
    <w:rsid w:val="002C3BF6"/>
    <w:rsid w:val="00331E4C"/>
    <w:rsid w:val="003951F3"/>
    <w:rsid w:val="003E7F13"/>
    <w:rsid w:val="003F1DA3"/>
    <w:rsid w:val="003F5831"/>
    <w:rsid w:val="005611B2"/>
    <w:rsid w:val="005B3FF1"/>
    <w:rsid w:val="005F45E6"/>
    <w:rsid w:val="007354EB"/>
    <w:rsid w:val="007C52D3"/>
    <w:rsid w:val="00803E1A"/>
    <w:rsid w:val="008323D0"/>
    <w:rsid w:val="00895001"/>
    <w:rsid w:val="00972302"/>
    <w:rsid w:val="009F64D1"/>
    <w:rsid w:val="00A533EB"/>
    <w:rsid w:val="00AC0900"/>
    <w:rsid w:val="00AC7E79"/>
    <w:rsid w:val="00B179E2"/>
    <w:rsid w:val="00B74C84"/>
    <w:rsid w:val="00BB72E5"/>
    <w:rsid w:val="00BF3F20"/>
    <w:rsid w:val="00C152B7"/>
    <w:rsid w:val="00C2027E"/>
    <w:rsid w:val="00D00B66"/>
    <w:rsid w:val="00D23162"/>
    <w:rsid w:val="00DB0538"/>
    <w:rsid w:val="00E045A0"/>
    <w:rsid w:val="00F0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A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54EB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354EB"/>
  </w:style>
  <w:style w:type="paragraph" w:styleId="Header">
    <w:name w:val="header"/>
    <w:basedOn w:val="Normal"/>
    <w:link w:val="HeaderChar"/>
    <w:uiPriority w:val="99"/>
    <w:unhideWhenUsed/>
    <w:rsid w:val="00C2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27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A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54EB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354EB"/>
  </w:style>
  <w:style w:type="paragraph" w:styleId="Header">
    <w:name w:val="header"/>
    <w:basedOn w:val="Normal"/>
    <w:link w:val="HeaderChar"/>
    <w:uiPriority w:val="99"/>
    <w:unhideWhenUsed/>
    <w:rsid w:val="00C2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27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Hanchate, Amresh</dc:creator>
  <cp:keywords/>
  <dc:description/>
  <cp:lastModifiedBy>MLAPINIG</cp:lastModifiedBy>
  <cp:revision>14</cp:revision>
  <dcterms:created xsi:type="dcterms:W3CDTF">2021-11-14T02:47:00Z</dcterms:created>
  <dcterms:modified xsi:type="dcterms:W3CDTF">2022-03-09T02:05:00Z</dcterms:modified>
</cp:coreProperties>
</file>