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A6A7" w14:textId="31EFAEF4" w:rsidR="008D1FC4" w:rsidRPr="00210945" w:rsidRDefault="00E520D2">
      <w:pPr>
        <w:rPr>
          <w:b/>
          <w:bCs/>
          <w:sz w:val="28"/>
          <w:szCs w:val="28"/>
        </w:rPr>
      </w:pPr>
      <w:r>
        <w:rPr>
          <w:b/>
          <w:bCs/>
          <w:sz w:val="28"/>
          <w:szCs w:val="28"/>
        </w:rPr>
        <w:t>Additional file 4</w:t>
      </w:r>
      <w:r w:rsidR="00210945" w:rsidRPr="00210945">
        <w:rPr>
          <w:b/>
          <w:bCs/>
          <w:sz w:val="28"/>
          <w:szCs w:val="28"/>
        </w:rPr>
        <w:t>. Summary of interventions, outcomes and associations.</w:t>
      </w:r>
    </w:p>
    <w:tbl>
      <w:tblPr>
        <w:tblStyle w:val="TableGrid"/>
        <w:tblW w:w="14312" w:type="dxa"/>
        <w:tblLook w:val="04A0" w:firstRow="1" w:lastRow="0" w:firstColumn="1" w:lastColumn="0" w:noHBand="0" w:noVBand="1"/>
      </w:tblPr>
      <w:tblGrid>
        <w:gridCol w:w="1696"/>
        <w:gridCol w:w="5103"/>
        <w:gridCol w:w="3686"/>
        <w:gridCol w:w="3827"/>
      </w:tblGrid>
      <w:tr w:rsidR="00210945" w14:paraId="2E0015DA" w14:textId="64E135CF" w:rsidTr="007D6DA1">
        <w:trPr>
          <w:trHeight w:val="310"/>
        </w:trPr>
        <w:tc>
          <w:tcPr>
            <w:tcW w:w="1696" w:type="dxa"/>
          </w:tcPr>
          <w:p w14:paraId="64C04433" w14:textId="1DA3EBA3" w:rsidR="00210945" w:rsidRPr="007D6DA1" w:rsidRDefault="00210945" w:rsidP="00210945">
            <w:pPr>
              <w:jc w:val="center"/>
              <w:rPr>
                <w:b/>
                <w:bCs/>
                <w:sz w:val="20"/>
                <w:szCs w:val="20"/>
              </w:rPr>
            </w:pPr>
            <w:r w:rsidRPr="007D6DA1">
              <w:rPr>
                <w:b/>
                <w:bCs/>
                <w:sz w:val="20"/>
                <w:szCs w:val="20"/>
              </w:rPr>
              <w:t>Authors</w:t>
            </w:r>
          </w:p>
        </w:tc>
        <w:tc>
          <w:tcPr>
            <w:tcW w:w="5103" w:type="dxa"/>
          </w:tcPr>
          <w:p w14:paraId="3F055116" w14:textId="4E2A13C6" w:rsidR="00210945" w:rsidRPr="007D6DA1" w:rsidRDefault="00210945" w:rsidP="00210945">
            <w:pPr>
              <w:jc w:val="center"/>
              <w:rPr>
                <w:b/>
                <w:bCs/>
                <w:sz w:val="20"/>
                <w:szCs w:val="20"/>
              </w:rPr>
            </w:pPr>
            <w:r w:rsidRPr="007D6DA1">
              <w:rPr>
                <w:b/>
                <w:bCs/>
                <w:sz w:val="20"/>
                <w:szCs w:val="20"/>
              </w:rPr>
              <w:t>Interventions</w:t>
            </w:r>
          </w:p>
        </w:tc>
        <w:tc>
          <w:tcPr>
            <w:tcW w:w="3686" w:type="dxa"/>
          </w:tcPr>
          <w:p w14:paraId="4A049CCC" w14:textId="5F699BA3" w:rsidR="00210945" w:rsidRPr="007D6DA1" w:rsidRDefault="00210945" w:rsidP="00210945">
            <w:pPr>
              <w:jc w:val="center"/>
              <w:rPr>
                <w:b/>
                <w:bCs/>
                <w:sz w:val="20"/>
                <w:szCs w:val="20"/>
              </w:rPr>
            </w:pPr>
            <w:r w:rsidRPr="007D6DA1">
              <w:rPr>
                <w:b/>
                <w:bCs/>
                <w:sz w:val="20"/>
                <w:szCs w:val="20"/>
              </w:rPr>
              <w:t>Studied outcomes</w:t>
            </w:r>
          </w:p>
        </w:tc>
        <w:tc>
          <w:tcPr>
            <w:tcW w:w="3827" w:type="dxa"/>
          </w:tcPr>
          <w:p w14:paraId="2EDA39E4" w14:textId="58769618" w:rsidR="00210945" w:rsidRPr="007D6DA1" w:rsidRDefault="007D6DA1" w:rsidP="00210945">
            <w:pPr>
              <w:jc w:val="center"/>
              <w:rPr>
                <w:b/>
                <w:bCs/>
                <w:sz w:val="20"/>
                <w:szCs w:val="20"/>
              </w:rPr>
            </w:pPr>
            <w:r w:rsidRPr="007D6DA1">
              <w:rPr>
                <w:b/>
                <w:bCs/>
                <w:sz w:val="20"/>
                <w:szCs w:val="20"/>
              </w:rPr>
              <w:t xml:space="preserve">Outcomes and </w:t>
            </w:r>
            <w:r w:rsidR="00795DEE" w:rsidRPr="007D6DA1">
              <w:rPr>
                <w:b/>
                <w:bCs/>
                <w:sz w:val="20"/>
                <w:szCs w:val="20"/>
              </w:rPr>
              <w:t xml:space="preserve">Significant </w:t>
            </w:r>
            <w:r w:rsidR="00210945" w:rsidRPr="007D6DA1">
              <w:rPr>
                <w:b/>
                <w:bCs/>
                <w:sz w:val="20"/>
                <w:szCs w:val="20"/>
              </w:rPr>
              <w:t>Associations</w:t>
            </w:r>
          </w:p>
        </w:tc>
      </w:tr>
      <w:tr w:rsidR="00210945" w14:paraId="3E5312C1" w14:textId="04EBA4B1" w:rsidTr="007D6DA1">
        <w:tc>
          <w:tcPr>
            <w:tcW w:w="1696" w:type="dxa"/>
          </w:tcPr>
          <w:p w14:paraId="54531A92" w14:textId="5FE017DC" w:rsidR="00210945" w:rsidRPr="007D6DA1" w:rsidRDefault="00210945">
            <w:pPr>
              <w:rPr>
                <w:sz w:val="20"/>
                <w:szCs w:val="20"/>
              </w:rPr>
            </w:pPr>
            <w:r w:rsidRPr="007D6DA1">
              <w:rPr>
                <w:sz w:val="20"/>
                <w:szCs w:val="20"/>
              </w:rPr>
              <w:t>Cresp et al. (2016)</w:t>
            </w:r>
          </w:p>
        </w:tc>
        <w:tc>
          <w:tcPr>
            <w:tcW w:w="5103" w:type="dxa"/>
          </w:tcPr>
          <w:p w14:paraId="128AF664" w14:textId="77777777" w:rsidR="00210945" w:rsidRPr="007D6DA1" w:rsidRDefault="00210945">
            <w:pPr>
              <w:rPr>
                <w:sz w:val="20"/>
                <w:szCs w:val="20"/>
              </w:rPr>
            </w:pPr>
            <w:r w:rsidRPr="007D6DA1">
              <w:rPr>
                <w:sz w:val="20"/>
                <w:szCs w:val="20"/>
              </w:rPr>
              <w:t xml:space="preserve">1. partnership with primary care providers </w:t>
            </w:r>
          </w:p>
          <w:p w14:paraId="64A72037" w14:textId="7A8BD4BD" w:rsidR="00210945" w:rsidRPr="007D6DA1" w:rsidRDefault="00210945">
            <w:pPr>
              <w:rPr>
                <w:sz w:val="20"/>
                <w:szCs w:val="20"/>
              </w:rPr>
            </w:pPr>
            <w:r w:rsidRPr="007D6DA1">
              <w:rPr>
                <w:sz w:val="20"/>
                <w:szCs w:val="20"/>
              </w:rPr>
              <w:t>2. Nurse-lead coordination for follow-up appointments.</w:t>
            </w:r>
          </w:p>
          <w:p w14:paraId="75170D74" w14:textId="77777777" w:rsidR="00210945" w:rsidRPr="007D6DA1" w:rsidRDefault="00210945">
            <w:pPr>
              <w:rPr>
                <w:sz w:val="20"/>
                <w:szCs w:val="20"/>
              </w:rPr>
            </w:pPr>
            <w:r w:rsidRPr="007D6DA1">
              <w:rPr>
                <w:sz w:val="20"/>
                <w:szCs w:val="20"/>
              </w:rPr>
              <w:t xml:space="preserve"> 3.Outreach care by paediatrician, nurse and social workers close to child's home.</w:t>
            </w:r>
          </w:p>
          <w:p w14:paraId="132F2CBB" w14:textId="72E02EB2" w:rsidR="00210945" w:rsidRPr="007D6DA1" w:rsidRDefault="00210945">
            <w:pPr>
              <w:rPr>
                <w:sz w:val="20"/>
                <w:szCs w:val="20"/>
              </w:rPr>
            </w:pPr>
            <w:r w:rsidRPr="007D6DA1">
              <w:rPr>
                <w:sz w:val="20"/>
                <w:szCs w:val="20"/>
              </w:rPr>
              <w:t xml:space="preserve"> 4.</w:t>
            </w:r>
            <w:r w:rsidR="006D5F9D" w:rsidRPr="007D6DA1">
              <w:rPr>
                <w:sz w:val="20"/>
                <w:szCs w:val="20"/>
              </w:rPr>
              <w:t xml:space="preserve"> Education,</w:t>
            </w:r>
            <w:r w:rsidRPr="007D6DA1">
              <w:rPr>
                <w:sz w:val="20"/>
                <w:szCs w:val="20"/>
              </w:rPr>
              <w:t xml:space="preserve"> training and capacity building for ambulatory care.</w:t>
            </w:r>
          </w:p>
        </w:tc>
        <w:tc>
          <w:tcPr>
            <w:tcW w:w="3686" w:type="dxa"/>
          </w:tcPr>
          <w:p w14:paraId="44881145" w14:textId="77777777" w:rsidR="00210945" w:rsidRPr="007D6DA1" w:rsidRDefault="00210945" w:rsidP="00210945">
            <w:pPr>
              <w:pStyle w:val="ListParagraph"/>
              <w:numPr>
                <w:ilvl w:val="0"/>
                <w:numId w:val="1"/>
              </w:numPr>
              <w:ind w:left="150" w:hanging="150"/>
              <w:rPr>
                <w:sz w:val="20"/>
                <w:szCs w:val="20"/>
              </w:rPr>
            </w:pPr>
            <w:r w:rsidRPr="007D6DA1">
              <w:rPr>
                <w:sz w:val="20"/>
                <w:szCs w:val="20"/>
              </w:rPr>
              <w:t>Emergency department presentations.</w:t>
            </w:r>
          </w:p>
          <w:p w14:paraId="500F5E1C" w14:textId="0A4AD600" w:rsidR="00210945" w:rsidRPr="007D6DA1" w:rsidRDefault="00210945" w:rsidP="00210945">
            <w:pPr>
              <w:pStyle w:val="ListParagraph"/>
              <w:numPr>
                <w:ilvl w:val="0"/>
                <w:numId w:val="1"/>
              </w:numPr>
              <w:ind w:left="150" w:hanging="150"/>
              <w:rPr>
                <w:sz w:val="20"/>
                <w:szCs w:val="20"/>
              </w:rPr>
            </w:pPr>
            <w:r w:rsidRPr="007D6DA1">
              <w:rPr>
                <w:sz w:val="20"/>
                <w:szCs w:val="20"/>
              </w:rPr>
              <w:t>Hospital admissions.</w:t>
            </w:r>
          </w:p>
          <w:p w14:paraId="14D8CBC6" w14:textId="77777777" w:rsidR="00210945" w:rsidRPr="007D6DA1" w:rsidRDefault="00210945" w:rsidP="00210945">
            <w:pPr>
              <w:pStyle w:val="ListParagraph"/>
              <w:numPr>
                <w:ilvl w:val="0"/>
                <w:numId w:val="1"/>
              </w:numPr>
              <w:ind w:left="150" w:hanging="150"/>
              <w:rPr>
                <w:sz w:val="20"/>
                <w:szCs w:val="20"/>
              </w:rPr>
            </w:pPr>
            <w:r w:rsidRPr="007D6DA1">
              <w:rPr>
                <w:sz w:val="20"/>
                <w:szCs w:val="20"/>
              </w:rPr>
              <w:t>Length of hospital stay.</w:t>
            </w:r>
          </w:p>
          <w:p w14:paraId="13D3C5AC" w14:textId="2629DC83" w:rsidR="00210945" w:rsidRPr="007D6DA1" w:rsidRDefault="00210945" w:rsidP="00210945">
            <w:pPr>
              <w:pStyle w:val="ListParagraph"/>
              <w:numPr>
                <w:ilvl w:val="0"/>
                <w:numId w:val="1"/>
              </w:numPr>
              <w:ind w:left="150" w:hanging="150"/>
              <w:rPr>
                <w:sz w:val="20"/>
                <w:szCs w:val="20"/>
              </w:rPr>
            </w:pPr>
            <w:r w:rsidRPr="007D6DA1">
              <w:rPr>
                <w:sz w:val="20"/>
                <w:szCs w:val="20"/>
              </w:rPr>
              <w:t>Non-attended appointments</w:t>
            </w:r>
          </w:p>
        </w:tc>
        <w:tc>
          <w:tcPr>
            <w:tcW w:w="3827" w:type="dxa"/>
          </w:tcPr>
          <w:p w14:paraId="5E5AA627" w14:textId="77777777" w:rsidR="00210945" w:rsidRPr="007D6DA1" w:rsidRDefault="00210945" w:rsidP="00210945">
            <w:pPr>
              <w:pStyle w:val="ListParagraph"/>
              <w:numPr>
                <w:ilvl w:val="0"/>
                <w:numId w:val="1"/>
              </w:numPr>
              <w:ind w:left="64" w:hanging="142"/>
              <w:rPr>
                <w:sz w:val="20"/>
                <w:szCs w:val="20"/>
              </w:rPr>
            </w:pPr>
            <w:r w:rsidRPr="007D6DA1">
              <w:rPr>
                <w:sz w:val="20"/>
                <w:szCs w:val="20"/>
              </w:rPr>
              <w:t>Decrease in incidence of emergency presentations.</w:t>
            </w:r>
          </w:p>
          <w:p w14:paraId="048D533D" w14:textId="77777777" w:rsidR="00210945" w:rsidRPr="007D6DA1" w:rsidRDefault="00210945" w:rsidP="00210945">
            <w:pPr>
              <w:pStyle w:val="ListParagraph"/>
              <w:numPr>
                <w:ilvl w:val="0"/>
                <w:numId w:val="1"/>
              </w:numPr>
              <w:ind w:left="64" w:hanging="142"/>
              <w:rPr>
                <w:sz w:val="20"/>
                <w:szCs w:val="20"/>
              </w:rPr>
            </w:pPr>
            <w:r w:rsidRPr="007D6DA1">
              <w:rPr>
                <w:sz w:val="20"/>
                <w:szCs w:val="20"/>
              </w:rPr>
              <w:t>Decrease in hospital admissions.</w:t>
            </w:r>
          </w:p>
          <w:p w14:paraId="35C12E34" w14:textId="77777777" w:rsidR="00210945" w:rsidRPr="007D6DA1" w:rsidRDefault="00210945" w:rsidP="00210945">
            <w:pPr>
              <w:pStyle w:val="ListParagraph"/>
              <w:numPr>
                <w:ilvl w:val="0"/>
                <w:numId w:val="1"/>
              </w:numPr>
              <w:ind w:left="64" w:hanging="142"/>
              <w:rPr>
                <w:sz w:val="20"/>
                <w:szCs w:val="20"/>
              </w:rPr>
            </w:pPr>
            <w:r w:rsidRPr="007D6DA1">
              <w:rPr>
                <w:sz w:val="20"/>
                <w:szCs w:val="20"/>
              </w:rPr>
              <w:t>Decrease in non-attended appointments.</w:t>
            </w:r>
          </w:p>
          <w:p w14:paraId="5F19CB01" w14:textId="6AAC46A1" w:rsidR="00210945" w:rsidRPr="007D6DA1" w:rsidRDefault="00210945" w:rsidP="00210945">
            <w:pPr>
              <w:pStyle w:val="ListParagraph"/>
              <w:numPr>
                <w:ilvl w:val="0"/>
                <w:numId w:val="1"/>
              </w:numPr>
              <w:ind w:left="64" w:hanging="142"/>
              <w:rPr>
                <w:sz w:val="20"/>
                <w:szCs w:val="20"/>
              </w:rPr>
            </w:pPr>
            <w:r w:rsidRPr="007D6DA1">
              <w:rPr>
                <w:sz w:val="20"/>
                <w:szCs w:val="20"/>
              </w:rPr>
              <w:t>Decrease in length of hospital stay.</w:t>
            </w:r>
          </w:p>
        </w:tc>
      </w:tr>
      <w:tr w:rsidR="00210945" w14:paraId="06A0B9EA" w14:textId="7B8DC1BF" w:rsidTr="007D6DA1">
        <w:tc>
          <w:tcPr>
            <w:tcW w:w="1696" w:type="dxa"/>
          </w:tcPr>
          <w:p w14:paraId="14034398" w14:textId="01BB18B2" w:rsidR="00210945" w:rsidRPr="007D6DA1" w:rsidRDefault="00210945">
            <w:pPr>
              <w:rPr>
                <w:sz w:val="20"/>
                <w:szCs w:val="20"/>
              </w:rPr>
            </w:pPr>
            <w:r w:rsidRPr="007D6DA1">
              <w:rPr>
                <w:sz w:val="20"/>
                <w:szCs w:val="20"/>
              </w:rPr>
              <w:t>Kim et al. (2019)</w:t>
            </w:r>
          </w:p>
        </w:tc>
        <w:tc>
          <w:tcPr>
            <w:tcW w:w="5103" w:type="dxa"/>
          </w:tcPr>
          <w:p w14:paraId="1D9075C4" w14:textId="405BEC68" w:rsidR="00210945" w:rsidRPr="007D6DA1" w:rsidRDefault="00210945" w:rsidP="00210945">
            <w:pPr>
              <w:pStyle w:val="ListParagraph"/>
              <w:numPr>
                <w:ilvl w:val="0"/>
                <w:numId w:val="2"/>
              </w:numPr>
              <w:ind w:left="180" w:hanging="180"/>
              <w:rPr>
                <w:sz w:val="20"/>
                <w:szCs w:val="20"/>
              </w:rPr>
            </w:pPr>
            <w:r w:rsidRPr="007D6DA1">
              <w:rPr>
                <w:sz w:val="20"/>
                <w:szCs w:val="20"/>
              </w:rPr>
              <w:t>Assignation to a community health worker</w:t>
            </w:r>
            <w:r w:rsidR="00795DEE" w:rsidRPr="007D6DA1">
              <w:rPr>
                <w:sz w:val="20"/>
                <w:szCs w:val="20"/>
              </w:rPr>
              <w:t>.</w:t>
            </w:r>
          </w:p>
          <w:p w14:paraId="27E232D9" w14:textId="77777777" w:rsidR="00210945" w:rsidRPr="007D6DA1" w:rsidRDefault="00795DEE" w:rsidP="00795DEE">
            <w:pPr>
              <w:pStyle w:val="ListParagraph"/>
              <w:numPr>
                <w:ilvl w:val="0"/>
                <w:numId w:val="2"/>
              </w:numPr>
              <w:ind w:left="180" w:hanging="180"/>
              <w:rPr>
                <w:sz w:val="20"/>
                <w:szCs w:val="20"/>
              </w:rPr>
            </w:pPr>
            <w:r w:rsidRPr="007D6DA1">
              <w:rPr>
                <w:sz w:val="20"/>
                <w:szCs w:val="20"/>
              </w:rPr>
              <w:t>Coordination of follow-up appointments.</w:t>
            </w:r>
          </w:p>
          <w:p w14:paraId="003AE219" w14:textId="77777777" w:rsidR="00795DEE" w:rsidRPr="007D6DA1" w:rsidRDefault="00795DEE" w:rsidP="00795DEE">
            <w:pPr>
              <w:pStyle w:val="ListParagraph"/>
              <w:numPr>
                <w:ilvl w:val="0"/>
                <w:numId w:val="2"/>
              </w:numPr>
              <w:ind w:left="180" w:hanging="180"/>
              <w:rPr>
                <w:sz w:val="20"/>
                <w:szCs w:val="20"/>
              </w:rPr>
            </w:pPr>
            <w:r w:rsidRPr="007D6DA1">
              <w:rPr>
                <w:sz w:val="20"/>
                <w:szCs w:val="20"/>
              </w:rPr>
              <w:t>Link to community resources.</w:t>
            </w:r>
          </w:p>
          <w:p w14:paraId="5C44CAA6" w14:textId="4FDAB000" w:rsidR="00795DEE" w:rsidRPr="007D6DA1" w:rsidRDefault="00795DEE" w:rsidP="00795DEE">
            <w:pPr>
              <w:pStyle w:val="ListParagraph"/>
              <w:numPr>
                <w:ilvl w:val="0"/>
                <w:numId w:val="2"/>
              </w:numPr>
              <w:ind w:left="180" w:hanging="180"/>
              <w:rPr>
                <w:sz w:val="20"/>
                <w:szCs w:val="20"/>
              </w:rPr>
            </w:pPr>
            <w:r w:rsidRPr="007D6DA1">
              <w:rPr>
                <w:sz w:val="20"/>
                <w:szCs w:val="20"/>
              </w:rPr>
              <w:t>Education on healthy lifestyle and medication use.</w:t>
            </w:r>
          </w:p>
        </w:tc>
        <w:tc>
          <w:tcPr>
            <w:tcW w:w="3686" w:type="dxa"/>
          </w:tcPr>
          <w:p w14:paraId="561F377E" w14:textId="16696A18" w:rsidR="00210945" w:rsidRPr="007D6DA1" w:rsidRDefault="00795DEE">
            <w:pPr>
              <w:rPr>
                <w:sz w:val="20"/>
                <w:szCs w:val="20"/>
              </w:rPr>
            </w:pPr>
            <w:r w:rsidRPr="007D6DA1">
              <w:rPr>
                <w:sz w:val="20"/>
                <w:szCs w:val="20"/>
              </w:rPr>
              <w:t>30 days readmission rates.</w:t>
            </w:r>
          </w:p>
        </w:tc>
        <w:tc>
          <w:tcPr>
            <w:tcW w:w="3827" w:type="dxa"/>
          </w:tcPr>
          <w:p w14:paraId="10B0C688" w14:textId="38801A1E" w:rsidR="00795DEE" w:rsidRPr="007D6DA1" w:rsidRDefault="00795DEE" w:rsidP="00795DEE">
            <w:pPr>
              <w:pStyle w:val="ListParagraph"/>
              <w:numPr>
                <w:ilvl w:val="0"/>
                <w:numId w:val="3"/>
              </w:numPr>
              <w:ind w:left="64" w:hanging="142"/>
              <w:rPr>
                <w:sz w:val="20"/>
                <w:szCs w:val="20"/>
              </w:rPr>
            </w:pPr>
            <w:r w:rsidRPr="007D6DA1">
              <w:rPr>
                <w:sz w:val="20"/>
                <w:szCs w:val="20"/>
              </w:rPr>
              <w:t xml:space="preserve">Reduction from 21% to 12% of patients in the KKN program in one year. </w:t>
            </w:r>
          </w:p>
          <w:p w14:paraId="084EBB2B" w14:textId="08CE5724" w:rsidR="00210945" w:rsidRPr="007D6DA1" w:rsidRDefault="00795DEE" w:rsidP="00795DEE">
            <w:pPr>
              <w:pStyle w:val="ListParagraph"/>
              <w:numPr>
                <w:ilvl w:val="0"/>
                <w:numId w:val="3"/>
              </w:numPr>
              <w:ind w:left="64" w:hanging="142"/>
              <w:rPr>
                <w:sz w:val="20"/>
                <w:szCs w:val="20"/>
              </w:rPr>
            </w:pPr>
            <w:r w:rsidRPr="007D6DA1">
              <w:rPr>
                <w:sz w:val="20"/>
                <w:szCs w:val="20"/>
              </w:rPr>
              <w:t>Reduction from 16.6% in 2015 to 12.6% in 2017 of annual readmission rates for Hawaiian patients.</w:t>
            </w:r>
          </w:p>
        </w:tc>
      </w:tr>
      <w:tr w:rsidR="00210945" w14:paraId="30C7941C" w14:textId="4F6F20FC" w:rsidTr="007D6DA1">
        <w:tc>
          <w:tcPr>
            <w:tcW w:w="1696" w:type="dxa"/>
          </w:tcPr>
          <w:p w14:paraId="5F08F104" w14:textId="09D77DB5" w:rsidR="00210945" w:rsidRPr="007D6DA1" w:rsidRDefault="00210945" w:rsidP="00210945">
            <w:pPr>
              <w:rPr>
                <w:sz w:val="20"/>
                <w:szCs w:val="20"/>
              </w:rPr>
            </w:pPr>
            <w:r w:rsidRPr="007D6DA1">
              <w:rPr>
                <w:sz w:val="20"/>
                <w:szCs w:val="20"/>
              </w:rPr>
              <w:t>Jayakody et al. (2018)</w:t>
            </w:r>
          </w:p>
        </w:tc>
        <w:tc>
          <w:tcPr>
            <w:tcW w:w="5103" w:type="dxa"/>
          </w:tcPr>
          <w:p w14:paraId="75130A54" w14:textId="5106A8BE" w:rsidR="00210945" w:rsidRPr="007D6DA1" w:rsidRDefault="00795DEE" w:rsidP="00210945">
            <w:pPr>
              <w:rPr>
                <w:sz w:val="20"/>
                <w:szCs w:val="20"/>
              </w:rPr>
            </w:pPr>
            <w:r w:rsidRPr="007D6DA1">
              <w:rPr>
                <w:sz w:val="20"/>
                <w:szCs w:val="20"/>
              </w:rPr>
              <w:t>48 hours telephone follow up</w:t>
            </w:r>
          </w:p>
        </w:tc>
        <w:tc>
          <w:tcPr>
            <w:tcW w:w="3686" w:type="dxa"/>
          </w:tcPr>
          <w:p w14:paraId="098767F0" w14:textId="0D9C2E2A" w:rsidR="00795DEE" w:rsidRPr="007D6DA1" w:rsidRDefault="00795DEE" w:rsidP="00795DEE">
            <w:pPr>
              <w:pStyle w:val="ListParagraph"/>
              <w:numPr>
                <w:ilvl w:val="0"/>
                <w:numId w:val="4"/>
              </w:numPr>
              <w:ind w:left="150" w:hanging="150"/>
              <w:rPr>
                <w:sz w:val="20"/>
                <w:szCs w:val="20"/>
              </w:rPr>
            </w:pPr>
            <w:r w:rsidRPr="007D6DA1">
              <w:rPr>
                <w:sz w:val="20"/>
                <w:szCs w:val="20"/>
              </w:rPr>
              <w:t xml:space="preserve">Unplanned hospital readmissions within 28 days of discharge from acute facility. </w:t>
            </w:r>
          </w:p>
          <w:p w14:paraId="7E0139DE" w14:textId="77777777" w:rsidR="00795DEE" w:rsidRPr="007D6DA1" w:rsidRDefault="00795DEE" w:rsidP="00795DEE">
            <w:pPr>
              <w:pStyle w:val="ListParagraph"/>
              <w:numPr>
                <w:ilvl w:val="0"/>
                <w:numId w:val="4"/>
              </w:numPr>
              <w:ind w:left="150" w:hanging="150"/>
              <w:rPr>
                <w:sz w:val="20"/>
                <w:szCs w:val="20"/>
              </w:rPr>
            </w:pPr>
            <w:r w:rsidRPr="007D6DA1">
              <w:rPr>
                <w:sz w:val="20"/>
                <w:szCs w:val="20"/>
              </w:rPr>
              <w:t xml:space="preserve">Mortality within 28 days of discharge. </w:t>
            </w:r>
          </w:p>
          <w:p w14:paraId="76803D96" w14:textId="78084AAD" w:rsidR="00210945" w:rsidRPr="007D6DA1" w:rsidRDefault="00795DEE" w:rsidP="00B61B48">
            <w:pPr>
              <w:pStyle w:val="ListParagraph"/>
              <w:numPr>
                <w:ilvl w:val="0"/>
                <w:numId w:val="4"/>
              </w:numPr>
              <w:ind w:left="150" w:hanging="150"/>
              <w:rPr>
                <w:sz w:val="20"/>
                <w:szCs w:val="20"/>
              </w:rPr>
            </w:pPr>
            <w:r w:rsidRPr="007D6DA1">
              <w:rPr>
                <w:sz w:val="20"/>
                <w:szCs w:val="20"/>
              </w:rPr>
              <w:t>Unplanned ED presentation within 28 days of discharge.</w:t>
            </w:r>
          </w:p>
        </w:tc>
        <w:tc>
          <w:tcPr>
            <w:tcW w:w="3827" w:type="dxa"/>
          </w:tcPr>
          <w:p w14:paraId="75513E82" w14:textId="0C487315" w:rsidR="00210945" w:rsidRPr="007D6DA1" w:rsidRDefault="00795DEE" w:rsidP="00B61B48">
            <w:pPr>
              <w:pStyle w:val="ListParagraph"/>
              <w:numPr>
                <w:ilvl w:val="0"/>
                <w:numId w:val="4"/>
              </w:numPr>
              <w:ind w:left="64" w:hanging="142"/>
              <w:rPr>
                <w:sz w:val="20"/>
                <w:szCs w:val="20"/>
              </w:rPr>
            </w:pPr>
            <w:r w:rsidRPr="007D6DA1">
              <w:rPr>
                <w:sz w:val="20"/>
                <w:szCs w:val="20"/>
              </w:rPr>
              <w:t>Reduction in unplanned ED presentation.</w:t>
            </w:r>
          </w:p>
        </w:tc>
      </w:tr>
      <w:tr w:rsidR="00210945" w14:paraId="6610A436" w14:textId="48D7EEB2" w:rsidTr="007D6DA1">
        <w:trPr>
          <w:trHeight w:val="2237"/>
        </w:trPr>
        <w:tc>
          <w:tcPr>
            <w:tcW w:w="1696" w:type="dxa"/>
          </w:tcPr>
          <w:p w14:paraId="7389D04F" w14:textId="7843D791" w:rsidR="00210945" w:rsidRPr="007D6DA1" w:rsidRDefault="00210945" w:rsidP="00210945">
            <w:pPr>
              <w:rPr>
                <w:sz w:val="20"/>
                <w:szCs w:val="20"/>
              </w:rPr>
            </w:pPr>
            <w:r w:rsidRPr="007D6DA1">
              <w:rPr>
                <w:sz w:val="20"/>
                <w:szCs w:val="20"/>
              </w:rPr>
              <w:t>Phillips et al. (2014)</w:t>
            </w:r>
          </w:p>
        </w:tc>
        <w:tc>
          <w:tcPr>
            <w:tcW w:w="5103" w:type="dxa"/>
          </w:tcPr>
          <w:p w14:paraId="09095440" w14:textId="1C68706F" w:rsidR="00210945" w:rsidRPr="007D6DA1" w:rsidRDefault="001F345D" w:rsidP="00210945">
            <w:pPr>
              <w:rPr>
                <w:sz w:val="20"/>
                <w:szCs w:val="20"/>
              </w:rPr>
            </w:pPr>
            <w:r w:rsidRPr="007D6DA1">
              <w:rPr>
                <w:sz w:val="20"/>
                <w:szCs w:val="20"/>
              </w:rPr>
              <w:t xml:space="preserve">Seven ear health MMS in local Indigenous language (one every 4 days) </w:t>
            </w:r>
            <w:r w:rsidR="00FF5DE3" w:rsidRPr="007D6DA1">
              <w:rPr>
                <w:sz w:val="20"/>
                <w:szCs w:val="20"/>
              </w:rPr>
              <w:t>about importance of hearing in Aboriginal context and a</w:t>
            </w:r>
            <w:r w:rsidRPr="007D6DA1">
              <w:rPr>
                <w:sz w:val="20"/>
                <w:szCs w:val="20"/>
              </w:rPr>
              <w:t xml:space="preserve"> prompt to visit the clinic for health check-ups</w:t>
            </w:r>
            <w:r w:rsidR="00FF5DE3" w:rsidRPr="007D6DA1">
              <w:rPr>
                <w:sz w:val="20"/>
                <w:szCs w:val="20"/>
              </w:rPr>
              <w:t>.</w:t>
            </w:r>
          </w:p>
        </w:tc>
        <w:tc>
          <w:tcPr>
            <w:tcW w:w="3686" w:type="dxa"/>
          </w:tcPr>
          <w:p w14:paraId="76C02EEA" w14:textId="77777777" w:rsidR="00FF5DE3" w:rsidRPr="007D6DA1" w:rsidRDefault="00FF5DE3" w:rsidP="00FF5DE3">
            <w:pPr>
              <w:pStyle w:val="ListParagraph"/>
              <w:numPr>
                <w:ilvl w:val="0"/>
                <w:numId w:val="5"/>
              </w:numPr>
              <w:ind w:left="150" w:hanging="150"/>
              <w:rPr>
                <w:sz w:val="20"/>
                <w:szCs w:val="20"/>
              </w:rPr>
            </w:pPr>
            <w:r w:rsidRPr="007D6DA1">
              <w:rPr>
                <w:sz w:val="20"/>
                <w:szCs w:val="20"/>
              </w:rPr>
              <w:t>Number of clinic appointments attended for any reason.</w:t>
            </w:r>
          </w:p>
          <w:p w14:paraId="11993172" w14:textId="77777777" w:rsidR="00FF5DE3" w:rsidRPr="007D6DA1" w:rsidRDefault="00FF5DE3" w:rsidP="00FF5DE3">
            <w:pPr>
              <w:pStyle w:val="ListParagraph"/>
              <w:numPr>
                <w:ilvl w:val="0"/>
                <w:numId w:val="5"/>
              </w:numPr>
              <w:ind w:left="150" w:hanging="150"/>
              <w:rPr>
                <w:sz w:val="20"/>
                <w:szCs w:val="20"/>
              </w:rPr>
            </w:pPr>
            <w:r w:rsidRPr="007D6DA1">
              <w:rPr>
                <w:sz w:val="20"/>
                <w:szCs w:val="20"/>
              </w:rPr>
              <w:t xml:space="preserve"> Ear health state at the end of study (healed tympanic membrane, ear discharge, perforation size).</w:t>
            </w:r>
          </w:p>
          <w:p w14:paraId="45F1BDF1" w14:textId="717907F4" w:rsidR="00210945" w:rsidRPr="007D6DA1" w:rsidRDefault="00FF5DE3" w:rsidP="00B61B48">
            <w:pPr>
              <w:pStyle w:val="ListParagraph"/>
              <w:numPr>
                <w:ilvl w:val="0"/>
                <w:numId w:val="5"/>
              </w:numPr>
              <w:ind w:left="150" w:hanging="150"/>
              <w:rPr>
                <w:sz w:val="20"/>
                <w:szCs w:val="20"/>
              </w:rPr>
            </w:pPr>
            <w:r w:rsidRPr="007D6DA1">
              <w:rPr>
                <w:sz w:val="20"/>
                <w:szCs w:val="20"/>
              </w:rPr>
              <w:t xml:space="preserve"> Participant satisfaction with MMS.</w:t>
            </w:r>
          </w:p>
        </w:tc>
        <w:tc>
          <w:tcPr>
            <w:tcW w:w="3827" w:type="dxa"/>
          </w:tcPr>
          <w:p w14:paraId="1EED0B0B" w14:textId="47443D72" w:rsidR="00210945" w:rsidRPr="007D6DA1" w:rsidRDefault="00FF5DE3" w:rsidP="00210945">
            <w:pPr>
              <w:rPr>
                <w:sz w:val="20"/>
                <w:szCs w:val="20"/>
              </w:rPr>
            </w:pPr>
            <w:r w:rsidRPr="007D6DA1">
              <w:rPr>
                <w:sz w:val="20"/>
                <w:szCs w:val="20"/>
              </w:rPr>
              <w:t>No statistically significant differences.</w:t>
            </w:r>
          </w:p>
        </w:tc>
      </w:tr>
      <w:tr w:rsidR="007D6DA1" w14:paraId="09412DA7" w14:textId="77777777" w:rsidTr="007D6DA1">
        <w:trPr>
          <w:trHeight w:val="2237"/>
        </w:trPr>
        <w:tc>
          <w:tcPr>
            <w:tcW w:w="1696" w:type="dxa"/>
          </w:tcPr>
          <w:p w14:paraId="7561B2D7" w14:textId="594192C7" w:rsidR="007D6DA1" w:rsidRPr="007D6DA1" w:rsidRDefault="007D6DA1" w:rsidP="00210945">
            <w:pPr>
              <w:rPr>
                <w:sz w:val="20"/>
                <w:szCs w:val="20"/>
              </w:rPr>
            </w:pPr>
            <w:r w:rsidRPr="007D6DA1">
              <w:rPr>
                <w:sz w:val="20"/>
                <w:szCs w:val="20"/>
              </w:rPr>
              <w:lastRenderedPageBreak/>
              <w:t>Blignault et al (2021)</w:t>
            </w:r>
          </w:p>
        </w:tc>
        <w:tc>
          <w:tcPr>
            <w:tcW w:w="5103" w:type="dxa"/>
          </w:tcPr>
          <w:p w14:paraId="2F4E74E7" w14:textId="6099F7FD" w:rsidR="007D6DA1" w:rsidRPr="007D6DA1" w:rsidRDefault="007D6DA1" w:rsidP="007D6DA1">
            <w:pPr>
              <w:rPr>
                <w:sz w:val="20"/>
                <w:szCs w:val="20"/>
              </w:rPr>
            </w:pPr>
            <w:r w:rsidRPr="007D6DA1">
              <w:rPr>
                <w:sz w:val="20"/>
                <w:szCs w:val="20"/>
              </w:rPr>
              <w:t>The Aboriginal Transfer of Care (ATOC) model had five key elements:</w:t>
            </w:r>
          </w:p>
          <w:p w14:paraId="6FE79EC0" w14:textId="537115EC" w:rsidR="007D6DA1" w:rsidRPr="007D6DA1" w:rsidRDefault="007D6DA1" w:rsidP="007D6DA1">
            <w:pPr>
              <w:rPr>
                <w:sz w:val="20"/>
                <w:szCs w:val="20"/>
              </w:rPr>
            </w:pPr>
            <w:r w:rsidRPr="007D6DA1">
              <w:rPr>
                <w:sz w:val="20"/>
                <w:szCs w:val="20"/>
              </w:rPr>
              <w:t>1. Transfer of care planning by a multidisciplinary team.</w:t>
            </w:r>
          </w:p>
          <w:p w14:paraId="23C22DFA" w14:textId="4DB6E11C" w:rsidR="007D6DA1" w:rsidRPr="007D6DA1" w:rsidRDefault="007D6DA1" w:rsidP="007D6DA1">
            <w:pPr>
              <w:rPr>
                <w:sz w:val="20"/>
                <w:szCs w:val="20"/>
              </w:rPr>
            </w:pPr>
            <w:r w:rsidRPr="007D6DA1">
              <w:rPr>
                <w:sz w:val="20"/>
                <w:szCs w:val="20"/>
              </w:rPr>
              <w:t>2. Ensuring the patient and their family understand the follow-up care plan.</w:t>
            </w:r>
          </w:p>
          <w:p w14:paraId="6B6A9DF8" w14:textId="77777777" w:rsidR="007D6DA1" w:rsidRPr="007D6DA1" w:rsidRDefault="007D6DA1" w:rsidP="007D6DA1">
            <w:pPr>
              <w:rPr>
                <w:sz w:val="20"/>
                <w:szCs w:val="20"/>
              </w:rPr>
            </w:pPr>
            <w:r w:rsidRPr="007D6DA1">
              <w:rPr>
                <w:sz w:val="20"/>
                <w:szCs w:val="20"/>
              </w:rPr>
              <w:t>3. Ensuring the patient’s General Practitioner (GP) or Aboriginal Medical Service (AMS)</w:t>
            </w:r>
          </w:p>
          <w:p w14:paraId="743B1E3D" w14:textId="61807554" w:rsidR="007D6DA1" w:rsidRPr="007D6DA1" w:rsidRDefault="007D6DA1" w:rsidP="007D6DA1">
            <w:pPr>
              <w:rPr>
                <w:sz w:val="20"/>
                <w:szCs w:val="20"/>
              </w:rPr>
            </w:pPr>
            <w:r w:rsidRPr="007D6DA1">
              <w:rPr>
                <w:sz w:val="20"/>
                <w:szCs w:val="20"/>
              </w:rPr>
              <w:t>is aware of any follow-up arrangements.</w:t>
            </w:r>
          </w:p>
          <w:p w14:paraId="1B0400C6" w14:textId="694C00B2" w:rsidR="007D6DA1" w:rsidRPr="007D6DA1" w:rsidRDefault="007D6DA1" w:rsidP="007D6DA1">
            <w:pPr>
              <w:rPr>
                <w:sz w:val="20"/>
                <w:szCs w:val="20"/>
              </w:rPr>
            </w:pPr>
            <w:r w:rsidRPr="007D6DA1">
              <w:rPr>
                <w:sz w:val="20"/>
                <w:szCs w:val="20"/>
              </w:rPr>
              <w:t>4. Ensuring referrals are organised with community providers.</w:t>
            </w:r>
          </w:p>
          <w:p w14:paraId="039E7417" w14:textId="77777777" w:rsidR="007D6DA1" w:rsidRPr="007D6DA1" w:rsidRDefault="007D6DA1" w:rsidP="007D6DA1">
            <w:pPr>
              <w:rPr>
                <w:sz w:val="20"/>
                <w:szCs w:val="20"/>
              </w:rPr>
            </w:pPr>
            <w:r w:rsidRPr="007D6DA1">
              <w:rPr>
                <w:sz w:val="20"/>
                <w:szCs w:val="20"/>
              </w:rPr>
              <w:t>5. Ensuring the patient has the necessary medications, equipment and written patient</w:t>
            </w:r>
          </w:p>
          <w:p w14:paraId="4016CA1B" w14:textId="70D846C2" w:rsidR="007D6DA1" w:rsidRPr="007D6DA1" w:rsidRDefault="007D6DA1" w:rsidP="007D6DA1">
            <w:pPr>
              <w:rPr>
                <w:sz w:val="20"/>
                <w:szCs w:val="20"/>
              </w:rPr>
            </w:pPr>
            <w:r w:rsidRPr="007D6DA1">
              <w:rPr>
                <w:sz w:val="20"/>
                <w:szCs w:val="20"/>
              </w:rPr>
              <w:t>summary information prior to transfer of care.</w:t>
            </w:r>
          </w:p>
        </w:tc>
        <w:tc>
          <w:tcPr>
            <w:tcW w:w="3686" w:type="dxa"/>
          </w:tcPr>
          <w:p w14:paraId="47461849" w14:textId="77777777" w:rsidR="007D6DA1" w:rsidRPr="007D6DA1" w:rsidRDefault="007D6DA1" w:rsidP="00FF5DE3">
            <w:pPr>
              <w:pStyle w:val="ListParagraph"/>
              <w:numPr>
                <w:ilvl w:val="0"/>
                <w:numId w:val="5"/>
              </w:numPr>
              <w:ind w:left="150" w:hanging="150"/>
              <w:rPr>
                <w:sz w:val="20"/>
                <w:szCs w:val="20"/>
              </w:rPr>
            </w:pPr>
            <w:r w:rsidRPr="007D6DA1">
              <w:rPr>
                <w:sz w:val="20"/>
                <w:szCs w:val="20"/>
              </w:rPr>
              <w:t>patients' experience being prepared for and leaving the hospital.</w:t>
            </w:r>
          </w:p>
          <w:p w14:paraId="193AEDEE" w14:textId="77777777" w:rsidR="007D6DA1" w:rsidRPr="007D6DA1" w:rsidRDefault="007D6DA1" w:rsidP="00FF5DE3">
            <w:pPr>
              <w:pStyle w:val="ListParagraph"/>
              <w:numPr>
                <w:ilvl w:val="0"/>
                <w:numId w:val="5"/>
              </w:numPr>
              <w:ind w:left="150" w:hanging="150"/>
              <w:rPr>
                <w:sz w:val="20"/>
                <w:szCs w:val="20"/>
              </w:rPr>
            </w:pPr>
            <w:r w:rsidRPr="007D6DA1">
              <w:rPr>
                <w:sz w:val="20"/>
                <w:szCs w:val="20"/>
              </w:rPr>
              <w:t xml:space="preserve">ATOC team members and relevant clinicians' views on the model of care, its strengths, weaknesses, barriers and enablers to its implementation and sustainability. </w:t>
            </w:r>
          </w:p>
          <w:p w14:paraId="45544C25" w14:textId="15EF5274" w:rsidR="007D6DA1" w:rsidRPr="007D6DA1" w:rsidRDefault="007D6DA1" w:rsidP="00FF5DE3">
            <w:pPr>
              <w:pStyle w:val="ListParagraph"/>
              <w:numPr>
                <w:ilvl w:val="0"/>
                <w:numId w:val="5"/>
              </w:numPr>
              <w:ind w:left="150" w:hanging="150"/>
              <w:rPr>
                <w:sz w:val="20"/>
                <w:szCs w:val="20"/>
              </w:rPr>
            </w:pPr>
            <w:r w:rsidRPr="007D6DA1">
              <w:rPr>
                <w:sz w:val="20"/>
                <w:szCs w:val="20"/>
              </w:rPr>
              <w:t>Community service providers' views on continuity and coordination of care of patients after ATOC implementation.</w:t>
            </w:r>
          </w:p>
        </w:tc>
        <w:tc>
          <w:tcPr>
            <w:tcW w:w="3827" w:type="dxa"/>
          </w:tcPr>
          <w:p w14:paraId="4E4869F5" w14:textId="77777777" w:rsidR="007D6DA1" w:rsidRPr="007D6DA1" w:rsidRDefault="007D6DA1" w:rsidP="007D6DA1">
            <w:pPr>
              <w:pStyle w:val="ListParagraph"/>
              <w:numPr>
                <w:ilvl w:val="0"/>
                <w:numId w:val="5"/>
              </w:numPr>
              <w:ind w:left="179" w:hanging="179"/>
              <w:rPr>
                <w:sz w:val="20"/>
                <w:szCs w:val="20"/>
              </w:rPr>
            </w:pPr>
            <w:r w:rsidRPr="007D6DA1">
              <w:rPr>
                <w:sz w:val="20"/>
                <w:szCs w:val="20"/>
              </w:rPr>
              <w:t xml:space="preserve">Integration of the 5 elements of ATOC contributes to effective transfer and positive patient journey by: 1 ) A multidisciplinary team bringing clinical and cultural expertise to meet individual's needs and preferences, 2)Ensuring effective communication between providers and family, 3) Ensuring access to other required services such as home care services  and 4) Ensuring medication, home set up and equipment and follow up visits are organised previous to hospital discharge.     </w:t>
            </w:r>
          </w:p>
          <w:p w14:paraId="2F3AA8E4" w14:textId="77777777" w:rsidR="007D6DA1" w:rsidRPr="007D6DA1" w:rsidRDefault="007D6DA1" w:rsidP="007D6DA1">
            <w:pPr>
              <w:pStyle w:val="ListParagraph"/>
              <w:numPr>
                <w:ilvl w:val="0"/>
                <w:numId w:val="5"/>
              </w:numPr>
              <w:ind w:left="179" w:hanging="179"/>
              <w:rPr>
                <w:sz w:val="20"/>
                <w:szCs w:val="20"/>
              </w:rPr>
            </w:pPr>
            <w:r w:rsidRPr="007D6DA1">
              <w:rPr>
                <w:sz w:val="20"/>
                <w:szCs w:val="20"/>
              </w:rPr>
              <w:t xml:space="preserve">Outcomes: decrease in unplanned readmissions and ED presentations, increase in Aboriginal patient identification, improved patient experience , stronger partnership reported between services.   </w:t>
            </w:r>
          </w:p>
          <w:p w14:paraId="6F1FE83F" w14:textId="77777777" w:rsidR="007D6DA1" w:rsidRPr="007D6DA1" w:rsidRDefault="007D6DA1" w:rsidP="007D6DA1">
            <w:pPr>
              <w:pStyle w:val="ListParagraph"/>
              <w:numPr>
                <w:ilvl w:val="0"/>
                <w:numId w:val="5"/>
              </w:numPr>
              <w:ind w:left="179" w:hanging="179"/>
              <w:rPr>
                <w:sz w:val="20"/>
                <w:szCs w:val="20"/>
              </w:rPr>
            </w:pPr>
            <w:r w:rsidRPr="007D6DA1">
              <w:rPr>
                <w:sz w:val="20"/>
                <w:szCs w:val="20"/>
              </w:rPr>
              <w:t xml:space="preserve">Challenges: staff availability, ATOC operating only from 9am to 5pm, inadequate identification of Aboriginal patients , broader culturally unsafe services across the hospital. </w:t>
            </w:r>
          </w:p>
          <w:p w14:paraId="4DF9F537" w14:textId="054540D6" w:rsidR="007D6DA1" w:rsidRPr="007D6DA1" w:rsidRDefault="007D6DA1" w:rsidP="007D6DA1">
            <w:pPr>
              <w:pStyle w:val="ListParagraph"/>
              <w:numPr>
                <w:ilvl w:val="0"/>
                <w:numId w:val="5"/>
              </w:numPr>
              <w:ind w:left="179" w:hanging="179"/>
              <w:rPr>
                <w:sz w:val="20"/>
                <w:szCs w:val="20"/>
              </w:rPr>
            </w:pPr>
            <w:r w:rsidRPr="007D6DA1">
              <w:rPr>
                <w:sz w:val="20"/>
                <w:szCs w:val="20"/>
              </w:rPr>
              <w:t>Success factors: strong governance with clinician and cultural leadership, multidisciplinary team working collaboratively, Availability of male and female ALOs to respect cultural protocols.</w:t>
            </w:r>
          </w:p>
        </w:tc>
      </w:tr>
    </w:tbl>
    <w:p w14:paraId="7716E1DF" w14:textId="77777777" w:rsidR="00210945" w:rsidRDefault="00210945"/>
    <w:sectPr w:rsidR="00210945" w:rsidSect="002109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AFA5" w14:textId="77777777" w:rsidR="0026592E" w:rsidRDefault="0026592E" w:rsidP="00795DEE">
      <w:pPr>
        <w:spacing w:after="0" w:line="240" w:lineRule="auto"/>
      </w:pPr>
      <w:r>
        <w:separator/>
      </w:r>
    </w:p>
  </w:endnote>
  <w:endnote w:type="continuationSeparator" w:id="0">
    <w:p w14:paraId="10852B96" w14:textId="77777777" w:rsidR="0026592E" w:rsidRDefault="0026592E" w:rsidP="0079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F85A" w14:textId="77777777" w:rsidR="0026592E" w:rsidRDefault="0026592E" w:rsidP="00795DEE">
      <w:pPr>
        <w:spacing w:after="0" w:line="240" w:lineRule="auto"/>
      </w:pPr>
      <w:r>
        <w:separator/>
      </w:r>
    </w:p>
  </w:footnote>
  <w:footnote w:type="continuationSeparator" w:id="0">
    <w:p w14:paraId="5292E381" w14:textId="77777777" w:rsidR="0026592E" w:rsidRDefault="0026592E" w:rsidP="00795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123"/>
    <w:multiLevelType w:val="hybridMultilevel"/>
    <w:tmpl w:val="B5283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74E3"/>
    <w:multiLevelType w:val="hybridMultilevel"/>
    <w:tmpl w:val="9578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0541A"/>
    <w:multiLevelType w:val="hybridMultilevel"/>
    <w:tmpl w:val="AEF2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250B0"/>
    <w:multiLevelType w:val="hybridMultilevel"/>
    <w:tmpl w:val="C1A08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1F754B"/>
    <w:multiLevelType w:val="hybridMultilevel"/>
    <w:tmpl w:val="52C6E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611840">
    <w:abstractNumId w:val="2"/>
  </w:num>
  <w:num w:numId="2" w16cid:durableId="1319923926">
    <w:abstractNumId w:val="3"/>
  </w:num>
  <w:num w:numId="3" w16cid:durableId="1874732518">
    <w:abstractNumId w:val="0"/>
  </w:num>
  <w:num w:numId="4" w16cid:durableId="1972129650">
    <w:abstractNumId w:val="1"/>
  </w:num>
  <w:num w:numId="5" w16cid:durableId="1622569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45"/>
    <w:rsid w:val="001F345D"/>
    <w:rsid w:val="00210945"/>
    <w:rsid w:val="0026592E"/>
    <w:rsid w:val="004B2B47"/>
    <w:rsid w:val="0065164A"/>
    <w:rsid w:val="006D5F9D"/>
    <w:rsid w:val="00795DEE"/>
    <w:rsid w:val="007D6DA1"/>
    <w:rsid w:val="0090787D"/>
    <w:rsid w:val="00B61B48"/>
    <w:rsid w:val="00C65E62"/>
    <w:rsid w:val="00CE543C"/>
    <w:rsid w:val="00DB21EF"/>
    <w:rsid w:val="00E520D2"/>
    <w:rsid w:val="00FB5515"/>
    <w:rsid w:val="00FD63C4"/>
    <w:rsid w:val="00FF5D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BC272A"/>
  <w15:chartTrackingRefBased/>
  <w15:docId w15:val="{436D7FA3-1ECE-4726-8FB4-2851428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945"/>
    <w:pPr>
      <w:ind w:left="720"/>
      <w:contextualSpacing/>
    </w:pPr>
  </w:style>
  <w:style w:type="character" w:styleId="CommentReference">
    <w:name w:val="annotation reference"/>
    <w:basedOn w:val="DefaultParagraphFont"/>
    <w:uiPriority w:val="99"/>
    <w:semiHidden/>
    <w:unhideWhenUsed/>
    <w:rsid w:val="00795DEE"/>
    <w:rPr>
      <w:sz w:val="16"/>
      <w:szCs w:val="16"/>
    </w:rPr>
  </w:style>
  <w:style w:type="paragraph" w:styleId="CommentText">
    <w:name w:val="annotation text"/>
    <w:basedOn w:val="Normal"/>
    <w:link w:val="CommentTextChar"/>
    <w:uiPriority w:val="99"/>
    <w:semiHidden/>
    <w:unhideWhenUsed/>
    <w:rsid w:val="00795DEE"/>
    <w:pPr>
      <w:spacing w:line="240" w:lineRule="auto"/>
    </w:pPr>
    <w:rPr>
      <w:sz w:val="20"/>
      <w:szCs w:val="20"/>
    </w:rPr>
  </w:style>
  <w:style w:type="character" w:customStyle="1" w:styleId="CommentTextChar">
    <w:name w:val="Comment Text Char"/>
    <w:basedOn w:val="DefaultParagraphFont"/>
    <w:link w:val="CommentText"/>
    <w:uiPriority w:val="99"/>
    <w:semiHidden/>
    <w:rsid w:val="00795DEE"/>
    <w:rPr>
      <w:sz w:val="20"/>
      <w:szCs w:val="20"/>
    </w:rPr>
  </w:style>
  <w:style w:type="paragraph" w:styleId="CommentSubject">
    <w:name w:val="annotation subject"/>
    <w:basedOn w:val="CommentText"/>
    <w:next w:val="CommentText"/>
    <w:link w:val="CommentSubjectChar"/>
    <w:uiPriority w:val="99"/>
    <w:semiHidden/>
    <w:unhideWhenUsed/>
    <w:rsid w:val="00795DEE"/>
    <w:rPr>
      <w:b/>
      <w:bCs/>
    </w:rPr>
  </w:style>
  <w:style w:type="character" w:customStyle="1" w:styleId="CommentSubjectChar">
    <w:name w:val="Comment Subject Char"/>
    <w:basedOn w:val="CommentTextChar"/>
    <w:link w:val="CommentSubject"/>
    <w:uiPriority w:val="99"/>
    <w:semiHidden/>
    <w:rsid w:val="00795DEE"/>
    <w:rPr>
      <w:b/>
      <w:bCs/>
      <w:sz w:val="20"/>
      <w:szCs w:val="20"/>
    </w:rPr>
  </w:style>
  <w:style w:type="paragraph" w:styleId="BalloonText">
    <w:name w:val="Balloon Text"/>
    <w:basedOn w:val="Normal"/>
    <w:link w:val="BalloonTextChar"/>
    <w:uiPriority w:val="99"/>
    <w:semiHidden/>
    <w:unhideWhenUsed/>
    <w:rsid w:val="0079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EE"/>
    <w:rPr>
      <w:rFonts w:ascii="Segoe UI" w:hAnsi="Segoe UI" w:cs="Segoe UI"/>
      <w:sz w:val="18"/>
      <w:szCs w:val="18"/>
    </w:rPr>
  </w:style>
  <w:style w:type="paragraph" w:styleId="Header">
    <w:name w:val="header"/>
    <w:basedOn w:val="Normal"/>
    <w:link w:val="HeaderChar"/>
    <w:uiPriority w:val="99"/>
    <w:unhideWhenUsed/>
    <w:rsid w:val="00B61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B48"/>
  </w:style>
  <w:style w:type="paragraph" w:styleId="Footer">
    <w:name w:val="footer"/>
    <w:basedOn w:val="Normal"/>
    <w:link w:val="FooterChar"/>
    <w:uiPriority w:val="99"/>
    <w:unhideWhenUsed/>
    <w:rsid w:val="00B61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Kairuz Santos</dc:creator>
  <cp:keywords/>
  <dc:description/>
  <cp:lastModifiedBy>Camila Kairuz Santos</cp:lastModifiedBy>
  <cp:revision>9</cp:revision>
  <dcterms:created xsi:type="dcterms:W3CDTF">2021-03-22T04:56:00Z</dcterms:created>
  <dcterms:modified xsi:type="dcterms:W3CDTF">2023-03-17T04:29:00Z</dcterms:modified>
</cp:coreProperties>
</file>