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BD" w:rsidRPr="007E69DD" w:rsidRDefault="00FD78BD" w:rsidP="00FD78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5394" w:type="pct"/>
        <w:jc w:val="right"/>
        <w:tblLook w:val="04A0"/>
      </w:tblPr>
      <w:tblGrid>
        <w:gridCol w:w="1082"/>
        <w:gridCol w:w="1011"/>
        <w:gridCol w:w="992"/>
        <w:gridCol w:w="992"/>
        <w:gridCol w:w="992"/>
        <w:gridCol w:w="992"/>
        <w:gridCol w:w="827"/>
        <w:gridCol w:w="967"/>
        <w:gridCol w:w="803"/>
        <w:gridCol w:w="916"/>
        <w:gridCol w:w="1050"/>
      </w:tblGrid>
      <w:tr w:rsidR="00FD78BD" w:rsidRPr="006774CA" w:rsidTr="00A13185">
        <w:trPr>
          <w:jc w:val="right"/>
        </w:trPr>
        <w:tc>
          <w:tcPr>
            <w:tcW w:w="5000" w:type="pct"/>
            <w:gridSpan w:val="11"/>
          </w:tcPr>
          <w:p w:rsidR="00FD78BD" w:rsidRDefault="00FD78BD" w:rsidP="00A13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 </w:t>
            </w:r>
            <w:r w:rsidR="0033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  <w:r w:rsidRPr="00284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Spearman’s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rrelation coefficient (p-value)</w:t>
            </w:r>
          </w:p>
          <w:p w:rsidR="00FD78BD" w:rsidRPr="0028433D" w:rsidRDefault="00FD78BD" w:rsidP="00A13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selected LA-related antibodies</w:t>
            </w:r>
          </w:p>
        </w:tc>
      </w:tr>
      <w:tr w:rsidR="00FD78BD" w:rsidRPr="006774CA" w:rsidTr="00FD78BD">
        <w:trPr>
          <w:jc w:val="right"/>
        </w:trPr>
        <w:tc>
          <w:tcPr>
            <w:tcW w:w="509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9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5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1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4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aCL IgM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aCL IgG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aβ2-GPI IgM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aβ2-GPI IgG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aProthr IgM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aProthr IgG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aPrZ IgM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aPrZ IgG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A5R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D1-aβ2-GPI IgG</w:t>
            </w: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aCL IgM</w:t>
            </w:r>
          </w:p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aCL IgG</w:t>
            </w: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(0.023)</w:t>
            </w:r>
          </w:p>
        </w:tc>
        <w:tc>
          <w:tcPr>
            <w:tcW w:w="467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aβ2-GPI IgM</w:t>
            </w: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(&lt;0.00</w:t>
            </w: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467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(0.043)</w:t>
            </w:r>
          </w:p>
        </w:tc>
        <w:tc>
          <w:tcPr>
            <w:tcW w:w="467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aβ2-GPI IgG</w:t>
            </w: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(0.487)</w:t>
            </w:r>
          </w:p>
        </w:tc>
        <w:tc>
          <w:tcPr>
            <w:tcW w:w="467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(&lt;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01)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(0.339)</w:t>
            </w:r>
          </w:p>
        </w:tc>
        <w:tc>
          <w:tcPr>
            <w:tcW w:w="467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aProthr IgM</w:t>
            </w: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(&lt;0.0001)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(0.317)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(&lt;0.001)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(0.825)</w:t>
            </w:r>
          </w:p>
        </w:tc>
        <w:tc>
          <w:tcPr>
            <w:tcW w:w="467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aProthr IgG</w:t>
            </w: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(0.237)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(0.0004)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(0.117)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(0.004)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(0.005)</w:t>
            </w:r>
          </w:p>
        </w:tc>
        <w:tc>
          <w:tcPr>
            <w:tcW w:w="389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aPrZ IgM</w:t>
            </w: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(0.0004)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(0.06)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(0.0003)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(0.224)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(&lt;0.001)</w:t>
            </w:r>
          </w:p>
        </w:tc>
        <w:tc>
          <w:tcPr>
            <w:tcW w:w="389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(0.560)</w:t>
            </w:r>
          </w:p>
        </w:tc>
        <w:tc>
          <w:tcPr>
            <w:tcW w:w="455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78" w:type="pct"/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aPrZ IgG</w:t>
            </w: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(0.346)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(0.398)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(0.507)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(0.136)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(0.090)</w:t>
            </w:r>
          </w:p>
        </w:tc>
        <w:tc>
          <w:tcPr>
            <w:tcW w:w="389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(0.009)</w:t>
            </w:r>
          </w:p>
        </w:tc>
        <w:tc>
          <w:tcPr>
            <w:tcW w:w="455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(0.470)</w:t>
            </w:r>
          </w:p>
        </w:tc>
        <w:tc>
          <w:tcPr>
            <w:tcW w:w="378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BFBFBF" w:themeFill="background1" w:themeFillShade="BF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A5R</w:t>
            </w:r>
          </w:p>
        </w:tc>
        <w:tc>
          <w:tcPr>
            <w:tcW w:w="476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-0.25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(0.003)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-0.65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(&lt;0.001)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-0.29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(0.0005)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-0.57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(&lt;0.001)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(0.171)</w:t>
            </w:r>
          </w:p>
        </w:tc>
        <w:tc>
          <w:tcPr>
            <w:tcW w:w="389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-0.20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(0.020)</w:t>
            </w:r>
          </w:p>
        </w:tc>
        <w:tc>
          <w:tcPr>
            <w:tcW w:w="455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-0.17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(0.042)</w:t>
            </w:r>
          </w:p>
        </w:tc>
        <w:tc>
          <w:tcPr>
            <w:tcW w:w="378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(0.842)</w:t>
            </w:r>
          </w:p>
        </w:tc>
        <w:tc>
          <w:tcPr>
            <w:tcW w:w="431" w:type="pct"/>
            <w:vAlign w:val="bottom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4CE2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494" w:type="pct"/>
            <w:shd w:val="clear" w:color="auto" w:fill="BFBFBF" w:themeFill="background1" w:themeFillShade="BF"/>
          </w:tcPr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BD" w:rsidRPr="009B4CE2" w:rsidTr="00FD78BD">
        <w:trPr>
          <w:jc w:val="right"/>
        </w:trPr>
        <w:tc>
          <w:tcPr>
            <w:tcW w:w="509" w:type="pct"/>
            <w:vAlign w:val="bottom"/>
          </w:tcPr>
          <w:p w:rsidR="00FD78BD" w:rsidRPr="009B4CE2" w:rsidRDefault="00FD78BD" w:rsidP="00A131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D1-aβ2-GPI IgG</w:t>
            </w:r>
          </w:p>
        </w:tc>
        <w:tc>
          <w:tcPr>
            <w:tcW w:w="476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(0.858)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(&lt;0.001)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(0.394)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</w:p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(&lt;0.001)</w:t>
            </w:r>
          </w:p>
        </w:tc>
        <w:tc>
          <w:tcPr>
            <w:tcW w:w="467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(0.560)</w:t>
            </w:r>
          </w:p>
        </w:tc>
        <w:tc>
          <w:tcPr>
            <w:tcW w:w="389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(0.001)</w:t>
            </w:r>
          </w:p>
        </w:tc>
        <w:tc>
          <w:tcPr>
            <w:tcW w:w="455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(0.076)</w:t>
            </w:r>
          </w:p>
        </w:tc>
        <w:tc>
          <w:tcPr>
            <w:tcW w:w="378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(0.504)</w:t>
            </w:r>
          </w:p>
        </w:tc>
        <w:tc>
          <w:tcPr>
            <w:tcW w:w="431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-0.58</w:t>
            </w:r>
          </w:p>
          <w:p w:rsidR="00FD78BD" w:rsidRPr="009B4CE2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(&lt;0.001)</w:t>
            </w:r>
          </w:p>
        </w:tc>
        <w:tc>
          <w:tcPr>
            <w:tcW w:w="494" w:type="pct"/>
            <w:vAlign w:val="bottom"/>
          </w:tcPr>
          <w:p w:rsidR="00FD78BD" w:rsidRDefault="00FD78BD" w:rsidP="00A13185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</w:tbl>
    <w:p w:rsidR="00FD78BD" w:rsidRDefault="00FD78BD" w:rsidP="00FD78B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78BD" w:rsidRPr="00F73308" w:rsidRDefault="00FD78BD" w:rsidP="00FD78B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In each cell, the number on top represent Spearman’s correlation coefficient, whereas the number on the bottom of the cell in round brackets represents a p-value from a hypothesis test examining the null hypothesis that this correlation coefficient is zero. Abbreviations: </w:t>
      </w:r>
      <w:r w:rsidRPr="00F73308">
        <w:rPr>
          <w:rFonts w:ascii="Times New Roman" w:hAnsi="Times New Roman" w:cs="Times New Roman"/>
          <w:sz w:val="24"/>
          <w:szCs w:val="24"/>
          <w:lang w:val="en-US"/>
        </w:rPr>
        <w:t>aCL – anti Cardiolipin, a</w:t>
      </w:r>
      <w:r w:rsidRPr="00F73308">
        <w:rPr>
          <w:rFonts w:ascii="Times New Roman" w:hAnsi="Times New Roman" w:cs="Times New Roman"/>
          <w:sz w:val="24"/>
          <w:szCs w:val="24"/>
        </w:rPr>
        <w:t>β</w:t>
      </w:r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2-GPI – anti </w:t>
      </w:r>
      <w:r w:rsidRPr="00F73308">
        <w:rPr>
          <w:rFonts w:ascii="Times New Roman" w:hAnsi="Times New Roman" w:cs="Times New Roman"/>
          <w:sz w:val="24"/>
          <w:szCs w:val="24"/>
        </w:rPr>
        <w:t>β</w:t>
      </w:r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2-glycoprotein 1, </w:t>
      </w:r>
      <w:proofErr w:type="spellStart"/>
      <w:r w:rsidRPr="00F73308">
        <w:rPr>
          <w:rFonts w:ascii="Times New Roman" w:hAnsi="Times New Roman" w:cs="Times New Roman"/>
          <w:sz w:val="24"/>
          <w:szCs w:val="24"/>
          <w:lang w:val="en-US"/>
        </w:rPr>
        <w:t>aProthr</w:t>
      </w:r>
      <w:proofErr w:type="spellEnd"/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 – anti </w:t>
      </w:r>
      <w:proofErr w:type="spellStart"/>
      <w:r w:rsidRPr="00F73308">
        <w:rPr>
          <w:rFonts w:ascii="Times New Roman" w:hAnsi="Times New Roman" w:cs="Times New Roman"/>
          <w:sz w:val="24"/>
          <w:szCs w:val="24"/>
          <w:lang w:val="en-US"/>
        </w:rPr>
        <w:t>Prothrombin</w:t>
      </w:r>
      <w:proofErr w:type="spellEnd"/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3308">
        <w:rPr>
          <w:rFonts w:ascii="Times New Roman" w:hAnsi="Times New Roman" w:cs="Times New Roman"/>
          <w:sz w:val="24"/>
          <w:szCs w:val="24"/>
          <w:lang w:val="en-US"/>
        </w:rPr>
        <w:t>aPrZ</w:t>
      </w:r>
      <w:proofErr w:type="spellEnd"/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 – anti Protein Z, A5R- </w:t>
      </w:r>
      <w:proofErr w:type="spellStart"/>
      <w:r w:rsidRPr="00F73308">
        <w:rPr>
          <w:rFonts w:ascii="Times New Roman" w:hAnsi="Times New Roman" w:cs="Times New Roman"/>
          <w:sz w:val="24"/>
          <w:szCs w:val="24"/>
          <w:lang w:val="en-US"/>
        </w:rPr>
        <w:t>Annexin</w:t>
      </w:r>
      <w:proofErr w:type="spellEnd"/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 A5 anticoagulant ratio, D1-a</w:t>
      </w:r>
      <w:r w:rsidRPr="00F73308">
        <w:rPr>
          <w:rFonts w:ascii="Times New Roman" w:hAnsi="Times New Roman" w:cs="Times New Roman"/>
          <w:sz w:val="24"/>
          <w:szCs w:val="24"/>
        </w:rPr>
        <w:t>β</w:t>
      </w:r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2-GPI – antibodies against domain 1 of </w:t>
      </w:r>
      <w:r w:rsidRPr="00F73308">
        <w:rPr>
          <w:rFonts w:ascii="Times New Roman" w:hAnsi="Times New Roman" w:cs="Times New Roman"/>
          <w:sz w:val="24"/>
          <w:szCs w:val="24"/>
        </w:rPr>
        <w:t>β</w:t>
      </w:r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2-glycoprotein 1, </w:t>
      </w:r>
      <w:proofErr w:type="spellStart"/>
      <w:r w:rsidRPr="00F73308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73308">
        <w:rPr>
          <w:rFonts w:ascii="Times New Roman" w:hAnsi="Times New Roman" w:cs="Times New Roman"/>
          <w:sz w:val="24"/>
          <w:szCs w:val="24"/>
          <w:lang w:val="en-US"/>
        </w:rPr>
        <w:t>Immunoglobin</w:t>
      </w:r>
      <w:proofErr w:type="spellEnd"/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F73308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73308">
        <w:rPr>
          <w:rFonts w:ascii="Times New Roman" w:hAnsi="Times New Roman" w:cs="Times New Roman"/>
          <w:sz w:val="24"/>
          <w:szCs w:val="24"/>
          <w:lang w:val="en-US"/>
        </w:rPr>
        <w:t>Immunoglobin</w:t>
      </w:r>
      <w:proofErr w:type="spellEnd"/>
      <w:r w:rsidRPr="00F73308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8BD" w:rsidRPr="00FD78BD" w:rsidRDefault="00FD78BD">
      <w:pPr>
        <w:rPr>
          <w:rFonts w:ascii="Times New Roman" w:hAnsi="Times New Roman" w:cs="Times New Roman"/>
          <w:b/>
          <w:sz w:val="28"/>
          <w:szCs w:val="28"/>
        </w:rPr>
      </w:pPr>
    </w:p>
    <w:sectPr w:rsidR="00FD78BD" w:rsidRPr="00FD78BD" w:rsidSect="00E67FA8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411"/>
    <w:multiLevelType w:val="multilevel"/>
    <w:tmpl w:val="83B0776E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C227EB"/>
    <w:multiLevelType w:val="multilevel"/>
    <w:tmpl w:val="3136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Formatvorlage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A638BF"/>
    <w:multiLevelType w:val="multilevel"/>
    <w:tmpl w:val="0407001F"/>
    <w:numStyleLink w:val="111111"/>
  </w:abstractNum>
  <w:abstractNum w:abstractNumId="3">
    <w:nsid w:val="5E0D6C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6A2FD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78BD"/>
    <w:rsid w:val="000D58C2"/>
    <w:rsid w:val="001C343F"/>
    <w:rsid w:val="00256593"/>
    <w:rsid w:val="0033485B"/>
    <w:rsid w:val="008B456A"/>
    <w:rsid w:val="00B2115E"/>
    <w:rsid w:val="00E67FA8"/>
    <w:rsid w:val="00F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ajorBidi"/>
        <w:b/>
        <w:bCs/>
        <w:color w:val="4F81BD" w:themeColor="accent1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BD"/>
    <w:pPr>
      <w:spacing w:after="160" w:line="259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de-DE" w:eastAsia="de-DE"/>
    </w:rPr>
  </w:style>
  <w:style w:type="paragraph" w:styleId="Heading3">
    <w:name w:val="heading 3"/>
    <w:basedOn w:val="Heading2"/>
    <w:next w:val="Heading4"/>
    <w:link w:val="Heading3Char"/>
    <w:uiPriority w:val="9"/>
    <w:unhideWhenUsed/>
    <w:qFormat/>
    <w:rsid w:val="00B2115E"/>
    <w:pPr>
      <w:numPr>
        <w:ilvl w:val="2"/>
        <w:numId w:val="5"/>
      </w:numPr>
      <w:spacing w:line="360" w:lineRule="auto"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5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256593"/>
    <w:pPr>
      <w:numPr>
        <w:numId w:val="1"/>
      </w:numPr>
    </w:pPr>
  </w:style>
  <w:style w:type="numbering" w:styleId="111111">
    <w:name w:val="Outline List 2"/>
    <w:basedOn w:val="NoList"/>
    <w:uiPriority w:val="99"/>
    <w:semiHidden/>
    <w:unhideWhenUsed/>
    <w:rsid w:val="00256593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56593"/>
    <w:rPr>
      <w:rFonts w:eastAsiaTheme="majorEastAsia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593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593"/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customStyle="1" w:styleId="Formatvorlage2">
    <w:name w:val="Formatvorlage2"/>
    <w:basedOn w:val="Heading3"/>
    <w:link w:val="Formatvorlage2Zeichen"/>
    <w:autoRedefine/>
    <w:qFormat/>
    <w:rsid w:val="00B2115E"/>
    <w:pPr>
      <w:keepNext w:val="0"/>
      <w:keepLines w:val="0"/>
      <w:numPr>
        <w:numId w:val="6"/>
      </w:numPr>
      <w:spacing w:before="0"/>
    </w:pPr>
  </w:style>
  <w:style w:type="character" w:customStyle="1" w:styleId="Formatvorlage2Zeichen">
    <w:name w:val="Formatvorlage2 Zeichen"/>
    <w:basedOn w:val="Heading3Char"/>
    <w:link w:val="Formatvorlage2"/>
    <w:rsid w:val="00B2115E"/>
    <w:rPr>
      <w:rFonts w:eastAsiaTheme="majorEastAsia"/>
      <w:szCs w:val="26"/>
      <w:lang w:val="en-US"/>
    </w:rPr>
  </w:style>
  <w:style w:type="table" w:styleId="TableGrid">
    <w:name w:val="Table Grid"/>
    <w:basedOn w:val="TableNormal"/>
    <w:uiPriority w:val="59"/>
    <w:rsid w:val="00FD78BD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8BD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b/>
        <w:bCs/>
        <w:color w:val="4F81BD" w:themeColor="accent1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8BD"/>
    <w:pPr>
      <w:spacing w:after="160" w:line="259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5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val="de-DE" w:eastAsia="de-DE"/>
    </w:rPr>
  </w:style>
  <w:style w:type="paragraph" w:styleId="berschrift3">
    <w:name w:val="heading 3"/>
    <w:basedOn w:val="berschrift2"/>
    <w:next w:val="berschrift4"/>
    <w:link w:val="berschrift3Zeichen"/>
    <w:uiPriority w:val="9"/>
    <w:unhideWhenUsed/>
    <w:qFormat/>
    <w:rsid w:val="00B2115E"/>
    <w:pPr>
      <w:numPr>
        <w:ilvl w:val="2"/>
        <w:numId w:val="5"/>
      </w:numPr>
      <w:spacing w:line="360" w:lineRule="auto"/>
      <w:outlineLvl w:val="2"/>
    </w:pPr>
    <w:rPr>
      <w:b/>
      <w:bCs/>
      <w:sz w:val="28"/>
      <w:lang w:val="en-US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2565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256593"/>
    <w:pPr>
      <w:numPr>
        <w:numId w:val="1"/>
      </w:numPr>
    </w:pPr>
  </w:style>
  <w:style w:type="numbering" w:styleId="111111">
    <w:name w:val="Outline List 2"/>
    <w:basedOn w:val="KeineListe"/>
    <w:uiPriority w:val="99"/>
    <w:semiHidden/>
    <w:unhideWhenUsed/>
    <w:rsid w:val="00256593"/>
    <w:pPr>
      <w:numPr>
        <w:numId w:val="3"/>
      </w:numPr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256593"/>
    <w:rPr>
      <w:rFonts w:eastAsiaTheme="majorEastAsia"/>
      <w:szCs w:val="26"/>
      <w:lang w:val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56593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256593"/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customStyle="1" w:styleId="Formatvorlage2">
    <w:name w:val="Formatvorlage2"/>
    <w:basedOn w:val="berschrift3"/>
    <w:link w:val="Formatvorlage2Zeichen"/>
    <w:autoRedefine/>
    <w:qFormat/>
    <w:rsid w:val="00B2115E"/>
    <w:pPr>
      <w:keepNext w:val="0"/>
      <w:keepLines w:val="0"/>
      <w:numPr>
        <w:numId w:val="6"/>
      </w:numPr>
      <w:tabs>
        <w:tab w:val="clear" w:pos="360"/>
      </w:tabs>
      <w:spacing w:before="0"/>
    </w:pPr>
  </w:style>
  <w:style w:type="character" w:customStyle="1" w:styleId="Formatvorlage2Zeichen">
    <w:name w:val="Formatvorlage2 Zeichen"/>
    <w:basedOn w:val="berschrift3Zeichen"/>
    <w:link w:val="Formatvorlage2"/>
    <w:rsid w:val="00B2115E"/>
    <w:rPr>
      <w:rFonts w:eastAsiaTheme="majorEastAsia"/>
      <w:szCs w:val="26"/>
      <w:lang w:val="en-US"/>
    </w:rPr>
  </w:style>
  <w:style w:type="table" w:styleId="Tabellenraster">
    <w:name w:val="Table Grid"/>
    <w:basedOn w:val="NormaleTabelle"/>
    <w:uiPriority w:val="59"/>
    <w:rsid w:val="00FD78BD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FD78BD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Med. Uni Wien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Haselböck</dc:creator>
  <cp:keywords/>
  <dc:description/>
  <cp:lastModifiedBy>lacosta</cp:lastModifiedBy>
  <cp:revision>2</cp:revision>
  <dcterms:created xsi:type="dcterms:W3CDTF">2016-11-07T10:43:00Z</dcterms:created>
  <dcterms:modified xsi:type="dcterms:W3CDTF">2017-02-16T13:50:00Z</dcterms:modified>
</cp:coreProperties>
</file>