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9714" w14:textId="77777777" w:rsidR="005B53DD" w:rsidRPr="005B53DD" w:rsidRDefault="005B53DD" w:rsidP="005B53D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kern w:val="28"/>
          <w:sz w:val="40"/>
          <w:szCs w:val="56"/>
          <w:lang w:val="en-US" w:eastAsia="en-GB"/>
        </w:rPr>
      </w:pPr>
      <w:r w:rsidRPr="005B53DD">
        <w:rPr>
          <w:rFonts w:ascii="Times New Roman" w:eastAsia="Times New Roman" w:hAnsi="Times New Roman" w:cs="Times New Roman"/>
          <w:spacing w:val="-10"/>
          <w:kern w:val="28"/>
          <w:sz w:val="40"/>
          <w:szCs w:val="56"/>
          <w:lang w:val="en-US" w:eastAsia="en-GB"/>
        </w:rPr>
        <w:t>Characterization of data-driven clusters in diabetes-free adults and their utility for risk stratification of type 2 diabetes</w:t>
      </w:r>
    </w:p>
    <w:p w14:paraId="2283B156" w14:textId="77777777" w:rsidR="005B53DD" w:rsidRPr="005B53DD" w:rsidRDefault="005B53DD" w:rsidP="005B53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14:paraId="3136E644" w14:textId="77777777" w:rsidR="005B53DD" w:rsidRPr="005B53DD" w:rsidRDefault="005B53DD" w:rsidP="005B53D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Diego Yacaman </w:t>
      </w:r>
      <w:proofErr w:type="spellStart"/>
      <w:proofErr w:type="gram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Mendez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proofErr w:type="gram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Minhao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Zhou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Ylva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Trolle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Lagerros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c,d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Donaji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V. Gómez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Velasco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e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Per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Tynelius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5B53DD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Hrafnhildur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Gudjonsdottir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Antonio Ponce de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Leon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5B53DD">
        <w:rPr>
          <w:rFonts w:ascii="Times New Roman" w:eastAsiaTheme="minorEastAsia" w:hAnsi="Times New Roman" w:cs="Times New Roman"/>
          <w:lang w:val="en-US"/>
        </w:rPr>
        <w:t xml:space="preserve"> </w:t>
      </w: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Katarina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Eeg-Olofsson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f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Claes-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Göran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Östenson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Boel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Brynedal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Carlos A. Aguilar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Salinas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e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David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Ebbevi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Anton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Lager</w:t>
      </w: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a,b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222C971F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Department of Global Public Health, Karolinska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Institutet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. Stockholm, Sweden.</w:t>
      </w:r>
    </w:p>
    <w:p w14:paraId="23AE40A1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b</w:t>
      </w: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Centre for Epidemiology and Community Medicine (CES), Stockholm Health Care Services, Stockholm, Sweden.</w:t>
      </w:r>
    </w:p>
    <w:p w14:paraId="6EF21516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c</w:t>
      </w: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Obesity Centre, Academic Specialist Centre, Stockholm Health Care Services, Stockholm, Sweden.</w:t>
      </w:r>
    </w:p>
    <w:p w14:paraId="581FDA76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d</w:t>
      </w: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Unit of Clinical Epidemiology, Department of Medicine, Karolinska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Institutet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, Stockholm, Sweden.</w:t>
      </w:r>
    </w:p>
    <w:p w14:paraId="590CC93E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s-MX"/>
        </w:rPr>
        <w:t>e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Unidad de Investigación de Enfermedades Metabólicas, Instituto Nacional de Ciencias Médicas y Nutrición “Salvador Zubirán”,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s-MX"/>
        </w:rPr>
        <w:t>Mexico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City,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s-MX"/>
        </w:rPr>
        <w:t>Mexico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s-MX"/>
        </w:rPr>
        <w:t>.</w:t>
      </w:r>
    </w:p>
    <w:p w14:paraId="5A912A56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 Department of Medicine,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Sahlgrenska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Academy, University of Gothenburg, Gothenburg, Sweden.</w:t>
      </w:r>
    </w:p>
    <w:p w14:paraId="0E1204C7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s-ES"/>
        </w:rPr>
        <w:t>Correspondence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s-ES"/>
        </w:rPr>
        <w:t>to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: Diego Yacaman-Mendez MD,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s-ES"/>
        </w:rPr>
        <w:t>MSc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s-ES"/>
        </w:rPr>
        <w:t>.</w:t>
      </w:r>
    </w:p>
    <w:p w14:paraId="644E1078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Department of Global Public Health, Karolinska </w:t>
      </w:r>
      <w:proofErr w:type="spellStart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Institutet</w:t>
      </w:r>
      <w:proofErr w:type="spellEnd"/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, Stockholm, Sweden. SE-171 77.</w:t>
      </w:r>
    </w:p>
    <w:p w14:paraId="21DAC50E" w14:textId="77777777" w:rsidR="005B53DD" w:rsidRPr="005B53DD" w:rsidRDefault="005B53DD" w:rsidP="005B53DD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Email address: diego.yacaman.mendez@ki.se</w:t>
      </w:r>
    </w:p>
    <w:p w14:paraId="60C66E6B" w14:textId="77777777" w:rsidR="005B53DD" w:rsidRPr="005B53DD" w:rsidRDefault="005B53DD" w:rsidP="005B53D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5B53DD" w:rsidRPr="005B5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53DD">
        <w:rPr>
          <w:rFonts w:ascii="Times New Roman" w:eastAsiaTheme="minorEastAsia" w:hAnsi="Times New Roman" w:cs="Times New Roman"/>
          <w:sz w:val="24"/>
          <w:szCs w:val="24"/>
          <w:lang w:val="en-US"/>
        </w:rPr>
        <w:t>Declarations of interest: none.</w:t>
      </w:r>
    </w:p>
    <w:p w14:paraId="0A614C1E" w14:textId="272437DB" w:rsidR="00011C37" w:rsidRDefault="00011C37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/>
          <w:noProof/>
          <w:sz w:val="24"/>
          <w:szCs w:val="20"/>
          <w:lang w:val="en-US" w:eastAsia="ja-JP"/>
        </w:rPr>
      </w:pPr>
      <w:r>
        <w:rPr>
          <w:rFonts w:ascii="Times New Roman" w:eastAsia="MS Mincho" w:hAnsi="Times New Roman" w:cs="Times New Roman"/>
          <w:b/>
          <w:noProof/>
          <w:sz w:val="24"/>
          <w:szCs w:val="20"/>
          <w:lang w:val="en-US" w:eastAsia="ja-JP"/>
        </w:rPr>
        <w:lastRenderedPageBreak/>
        <w:t xml:space="preserve">ADDITIONAL FILE </w:t>
      </w:r>
      <w:r w:rsidR="00CB135E">
        <w:rPr>
          <w:rFonts w:ascii="Times New Roman" w:eastAsia="MS Mincho" w:hAnsi="Times New Roman" w:cs="Times New Roman"/>
          <w:b/>
          <w:noProof/>
          <w:sz w:val="24"/>
          <w:szCs w:val="20"/>
          <w:lang w:val="en-US" w:eastAsia="ja-JP"/>
        </w:rPr>
        <w:t>1</w:t>
      </w:r>
      <w:r w:rsidR="002324E4">
        <w:rPr>
          <w:rFonts w:ascii="Times New Roman" w:eastAsia="MS Mincho" w:hAnsi="Times New Roman" w:cs="Times New Roman"/>
          <w:b/>
          <w:noProof/>
          <w:sz w:val="24"/>
          <w:szCs w:val="20"/>
          <w:lang w:val="en-US" w:eastAsia="ja-JP"/>
        </w:rPr>
        <w:t>: Supplementary tables</w:t>
      </w:r>
    </w:p>
    <w:p w14:paraId="4EFA6456" w14:textId="21D06193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/>
          <w:noProof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noProof/>
          <w:sz w:val="24"/>
          <w:szCs w:val="20"/>
          <w:lang w:val="en-US" w:eastAsia="ja-JP"/>
        </w:rPr>
        <w:t xml:space="preserve">Table S1. </w:t>
      </w:r>
      <w:r w:rsidRPr="005B53DD">
        <w:rPr>
          <w:rFonts w:ascii="Times New Roman" w:eastAsia="MS Mincho" w:hAnsi="Times New Roman" w:cs="Times New Roman"/>
          <w:bCs/>
          <w:noProof/>
          <w:sz w:val="24"/>
          <w:szCs w:val="20"/>
          <w:lang w:val="en-US" w:eastAsia="ja-JP"/>
        </w:rPr>
        <w:t>Baseline characteristics of the SDPP and MSC studies</w:t>
      </w:r>
      <w:r w:rsidR="00927461">
        <w:rPr>
          <w:rFonts w:ascii="Times New Roman" w:eastAsia="MS Mincho" w:hAnsi="Times New Roman" w:cs="Times New Roman"/>
          <w:bCs/>
          <w:noProof/>
          <w:sz w:val="24"/>
          <w:szCs w:val="20"/>
          <w:lang w:val="en-US" w:eastAsia="ja-JP"/>
        </w:rPr>
        <w:t>.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3397"/>
        <w:gridCol w:w="2694"/>
        <w:gridCol w:w="2551"/>
      </w:tblGrid>
      <w:tr w:rsidR="005B53DD" w:rsidRPr="005B53DD" w14:paraId="54440E0F" w14:textId="77777777" w:rsidTr="00CE3D08">
        <w:trPr>
          <w:trHeight w:val="192"/>
        </w:trPr>
        <w:tc>
          <w:tcPr>
            <w:tcW w:w="3397" w:type="dxa"/>
            <w:noWrap/>
            <w:vAlign w:val="center"/>
            <w:hideMark/>
          </w:tcPr>
          <w:p w14:paraId="76E80D08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2694" w:type="dxa"/>
            <w:noWrap/>
            <w:vAlign w:val="center"/>
          </w:tcPr>
          <w:p w14:paraId="3F48EB49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SDPP (</w:t>
            </w: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t xml:space="preserve"> n=7,317)</w:t>
            </w:r>
          </w:p>
        </w:tc>
        <w:tc>
          <w:tcPr>
            <w:tcW w:w="2551" w:type="dxa"/>
            <w:noWrap/>
            <w:vAlign w:val="center"/>
          </w:tcPr>
          <w:p w14:paraId="6B772144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MSC (</w:t>
            </w: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t>n=2,332)</w:t>
            </w:r>
          </w:p>
        </w:tc>
      </w:tr>
      <w:tr w:rsidR="005B53DD" w:rsidRPr="005B53DD" w14:paraId="510935B0" w14:textId="77777777" w:rsidTr="00CE3D08">
        <w:trPr>
          <w:trHeight w:val="192"/>
        </w:trPr>
        <w:tc>
          <w:tcPr>
            <w:tcW w:w="3397" w:type="dxa"/>
            <w:noWrap/>
            <w:vAlign w:val="center"/>
            <w:hideMark/>
          </w:tcPr>
          <w:p w14:paraId="51DC4611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Mean age (SD)</w:t>
            </w:r>
          </w:p>
        </w:tc>
        <w:tc>
          <w:tcPr>
            <w:tcW w:w="2694" w:type="dxa"/>
            <w:noWrap/>
            <w:vAlign w:val="center"/>
          </w:tcPr>
          <w:p w14:paraId="0A78D43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47.10 (4.92)</w:t>
            </w:r>
          </w:p>
        </w:tc>
        <w:tc>
          <w:tcPr>
            <w:tcW w:w="2551" w:type="dxa"/>
            <w:noWrap/>
            <w:vAlign w:val="center"/>
          </w:tcPr>
          <w:p w14:paraId="58730EBC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42.60 (7.76)</w:t>
            </w:r>
          </w:p>
        </w:tc>
      </w:tr>
      <w:tr w:rsidR="005B53DD" w:rsidRPr="005B53DD" w14:paraId="25353D1A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695D7049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Women</w:t>
            </w:r>
          </w:p>
        </w:tc>
        <w:tc>
          <w:tcPr>
            <w:tcW w:w="2694" w:type="dxa"/>
            <w:noWrap/>
            <w:vAlign w:val="center"/>
          </w:tcPr>
          <w:p w14:paraId="40A98812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4,442 (60.7%)</w:t>
            </w:r>
          </w:p>
        </w:tc>
        <w:tc>
          <w:tcPr>
            <w:tcW w:w="2551" w:type="dxa"/>
            <w:noWrap/>
          </w:tcPr>
          <w:p w14:paraId="42D5F56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1,663 (71.3%)</w:t>
            </w:r>
          </w:p>
        </w:tc>
      </w:tr>
      <w:tr w:rsidR="005B53DD" w:rsidRPr="005B53DD" w14:paraId="0D6C1793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0675D482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Men</w:t>
            </w:r>
          </w:p>
        </w:tc>
        <w:tc>
          <w:tcPr>
            <w:tcW w:w="2694" w:type="dxa"/>
            <w:noWrap/>
            <w:vAlign w:val="center"/>
          </w:tcPr>
          <w:p w14:paraId="71662C55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2,875 (39.3%)</w:t>
            </w:r>
          </w:p>
        </w:tc>
        <w:tc>
          <w:tcPr>
            <w:tcW w:w="2551" w:type="dxa"/>
            <w:noWrap/>
          </w:tcPr>
          <w:p w14:paraId="77BFA00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669 (28.7%)</w:t>
            </w:r>
          </w:p>
        </w:tc>
      </w:tr>
      <w:tr w:rsidR="005B53DD" w:rsidRPr="005B53DD" w14:paraId="3B8D9644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06D117D4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Mean BMI (kg/m</w:t>
            </w: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vertAlign w:val="superscript"/>
                <w:lang w:eastAsia="sv-SE"/>
              </w:rPr>
              <w:t>2</w:t>
            </w: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14:paraId="1E8BE70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25.55 (3.83)</w:t>
            </w:r>
          </w:p>
        </w:tc>
        <w:tc>
          <w:tcPr>
            <w:tcW w:w="2551" w:type="dxa"/>
            <w:noWrap/>
            <w:vAlign w:val="center"/>
          </w:tcPr>
          <w:p w14:paraId="782B98B0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29.15 (4.59)</w:t>
            </w:r>
          </w:p>
        </w:tc>
      </w:tr>
      <w:tr w:rsidR="005B53DD" w:rsidRPr="005B53DD" w14:paraId="0E879846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41CA9222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BMI categories (%)</w:t>
            </w:r>
          </w:p>
        </w:tc>
        <w:tc>
          <w:tcPr>
            <w:tcW w:w="2694" w:type="dxa"/>
            <w:noWrap/>
            <w:vAlign w:val="center"/>
          </w:tcPr>
          <w:p w14:paraId="1354FD9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14:paraId="3E925304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</w:p>
        </w:tc>
      </w:tr>
      <w:tr w:rsidR="005B53DD" w:rsidRPr="005B53DD" w14:paraId="5006D2F8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02E9646A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Normal</w:t>
            </w:r>
          </w:p>
        </w:tc>
        <w:tc>
          <w:tcPr>
            <w:tcW w:w="2694" w:type="dxa"/>
            <w:noWrap/>
          </w:tcPr>
          <w:p w14:paraId="4EBDE5B6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3,619 (49.5%)</w:t>
            </w:r>
          </w:p>
        </w:tc>
        <w:tc>
          <w:tcPr>
            <w:tcW w:w="2551" w:type="dxa"/>
            <w:noWrap/>
          </w:tcPr>
          <w:p w14:paraId="66226197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416 (17.8%)</w:t>
            </w:r>
          </w:p>
        </w:tc>
      </w:tr>
      <w:tr w:rsidR="005B53DD" w:rsidRPr="005B53DD" w14:paraId="15AB1F56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30D84A43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Overweight</w:t>
            </w:r>
          </w:p>
        </w:tc>
        <w:tc>
          <w:tcPr>
            <w:tcW w:w="2694" w:type="dxa"/>
            <w:noWrap/>
          </w:tcPr>
          <w:p w14:paraId="74A5C1D5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2,843 (38.9%)</w:t>
            </w:r>
          </w:p>
        </w:tc>
        <w:tc>
          <w:tcPr>
            <w:tcW w:w="2551" w:type="dxa"/>
            <w:noWrap/>
          </w:tcPr>
          <w:p w14:paraId="1609EBE3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1,081 (46.4%)</w:t>
            </w:r>
          </w:p>
        </w:tc>
      </w:tr>
      <w:tr w:rsidR="005B53DD" w:rsidRPr="005B53DD" w14:paraId="7C3B39C7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60DDDEBD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Obesity</w:t>
            </w:r>
          </w:p>
        </w:tc>
        <w:tc>
          <w:tcPr>
            <w:tcW w:w="2694" w:type="dxa"/>
            <w:noWrap/>
          </w:tcPr>
          <w:p w14:paraId="3AB6D0DA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855 (11.7%)</w:t>
            </w:r>
          </w:p>
        </w:tc>
        <w:tc>
          <w:tcPr>
            <w:tcW w:w="2551" w:type="dxa"/>
            <w:noWrap/>
          </w:tcPr>
          <w:p w14:paraId="12770D05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835 (35.8%)</w:t>
            </w:r>
          </w:p>
        </w:tc>
      </w:tr>
      <w:tr w:rsidR="005B53DD" w:rsidRPr="005B53DD" w14:paraId="17F9E722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072473A5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History of gestational diabetes (%)</w:t>
            </w:r>
          </w:p>
        </w:tc>
        <w:tc>
          <w:tcPr>
            <w:tcW w:w="2694" w:type="dxa"/>
            <w:noWrap/>
            <w:vAlign w:val="center"/>
          </w:tcPr>
          <w:p w14:paraId="1C75273B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169 (2.3%)</w:t>
            </w:r>
          </w:p>
        </w:tc>
        <w:tc>
          <w:tcPr>
            <w:tcW w:w="2551" w:type="dxa"/>
            <w:noWrap/>
            <w:vAlign w:val="center"/>
          </w:tcPr>
          <w:p w14:paraId="556ED54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  <w:t>25 (1.1%)</w:t>
            </w:r>
          </w:p>
        </w:tc>
      </w:tr>
      <w:tr w:rsidR="005B53DD" w:rsidRPr="005B53DD" w14:paraId="0F2EFB83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6924B600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Systolic blood pressure mmHg (SD)</w:t>
            </w:r>
          </w:p>
        </w:tc>
        <w:tc>
          <w:tcPr>
            <w:tcW w:w="2694" w:type="dxa"/>
            <w:noWrap/>
          </w:tcPr>
          <w:p w14:paraId="4067161C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122.51 (15.66)</w:t>
            </w:r>
          </w:p>
        </w:tc>
        <w:tc>
          <w:tcPr>
            <w:tcW w:w="2551" w:type="dxa"/>
            <w:noWrap/>
          </w:tcPr>
          <w:p w14:paraId="4DC81087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114.69 (14.56)</w:t>
            </w:r>
          </w:p>
        </w:tc>
      </w:tr>
      <w:tr w:rsidR="005B53DD" w:rsidRPr="005B53DD" w14:paraId="72B22AA4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18739CB8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Diastolic blood pressure mmHg (SD)</w:t>
            </w:r>
          </w:p>
        </w:tc>
        <w:tc>
          <w:tcPr>
            <w:tcW w:w="2694" w:type="dxa"/>
            <w:noWrap/>
          </w:tcPr>
          <w:p w14:paraId="2650074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76.89 (9.99)</w:t>
            </w:r>
          </w:p>
        </w:tc>
        <w:tc>
          <w:tcPr>
            <w:tcW w:w="2551" w:type="dxa"/>
            <w:noWrap/>
          </w:tcPr>
          <w:p w14:paraId="6734E13F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76.51 (10.22)</w:t>
            </w:r>
          </w:p>
        </w:tc>
      </w:tr>
      <w:tr w:rsidR="005B53DD" w:rsidRPr="005B53DD" w14:paraId="39D07DA7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381ABFFA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Fasting glucose mmol/L (SD)</w:t>
            </w:r>
          </w:p>
        </w:tc>
        <w:tc>
          <w:tcPr>
            <w:tcW w:w="2694" w:type="dxa"/>
            <w:noWrap/>
          </w:tcPr>
          <w:p w14:paraId="7543B0F6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4.71 (0.53)</w:t>
            </w:r>
          </w:p>
        </w:tc>
        <w:tc>
          <w:tcPr>
            <w:tcW w:w="2551" w:type="dxa"/>
            <w:noWrap/>
            <w:vAlign w:val="center"/>
          </w:tcPr>
          <w:p w14:paraId="40E8B0B9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4.91 (0.56)</w:t>
            </w:r>
          </w:p>
        </w:tc>
      </w:tr>
      <w:tr w:rsidR="005B53DD" w:rsidRPr="005B53DD" w14:paraId="628C8CED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0E713E59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Two-hour glucose mmol/L (SD)</w:t>
            </w:r>
          </w:p>
        </w:tc>
        <w:tc>
          <w:tcPr>
            <w:tcW w:w="2694" w:type="dxa"/>
            <w:noWrap/>
          </w:tcPr>
          <w:p w14:paraId="2971852B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4.74 (1.41)</w:t>
            </w:r>
          </w:p>
        </w:tc>
        <w:tc>
          <w:tcPr>
            <w:tcW w:w="2551" w:type="dxa"/>
            <w:noWrap/>
            <w:vAlign w:val="center"/>
          </w:tcPr>
          <w:p w14:paraId="030E9C3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5B53DD" w:rsidRPr="005B53DD" w14:paraId="203BA9F7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450745DA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Fasting insulin µU/ml (SD)</w:t>
            </w:r>
          </w:p>
        </w:tc>
        <w:tc>
          <w:tcPr>
            <w:tcW w:w="2694" w:type="dxa"/>
            <w:noWrap/>
            <w:vAlign w:val="center"/>
          </w:tcPr>
          <w:p w14:paraId="430FA04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14.33 (7.39)</w:t>
            </w:r>
          </w:p>
        </w:tc>
        <w:tc>
          <w:tcPr>
            <w:tcW w:w="2551" w:type="dxa"/>
            <w:noWrap/>
            <w:vAlign w:val="center"/>
          </w:tcPr>
          <w:p w14:paraId="49857739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12.15 (6.97)</w:t>
            </w:r>
          </w:p>
        </w:tc>
      </w:tr>
      <w:tr w:rsidR="005B53DD" w:rsidRPr="005B53DD" w14:paraId="5F07D449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2BF41D8E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Two-hour insulin µU/ml (SD)</w:t>
            </w:r>
          </w:p>
        </w:tc>
        <w:tc>
          <w:tcPr>
            <w:tcW w:w="2694" w:type="dxa"/>
            <w:noWrap/>
            <w:vAlign w:val="center"/>
          </w:tcPr>
          <w:p w14:paraId="4F1EAC99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46.68 (32.45)</w:t>
            </w:r>
          </w:p>
        </w:tc>
        <w:tc>
          <w:tcPr>
            <w:tcW w:w="2551" w:type="dxa"/>
            <w:noWrap/>
            <w:vAlign w:val="center"/>
          </w:tcPr>
          <w:p w14:paraId="66D04584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5B53DD" w:rsidRPr="005B53DD" w14:paraId="2845015F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4A67CD9C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HOMA2-B</w:t>
            </w:r>
          </w:p>
        </w:tc>
        <w:tc>
          <w:tcPr>
            <w:tcW w:w="2694" w:type="dxa"/>
            <w:noWrap/>
          </w:tcPr>
          <w:p w14:paraId="0B47B264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147.37 (56.39)</w:t>
            </w:r>
          </w:p>
        </w:tc>
        <w:tc>
          <w:tcPr>
            <w:tcW w:w="2551" w:type="dxa"/>
            <w:noWrap/>
          </w:tcPr>
          <w:p w14:paraId="58935C33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120.01 (45.97)</w:t>
            </w:r>
          </w:p>
        </w:tc>
      </w:tr>
      <w:tr w:rsidR="005B53DD" w:rsidRPr="005B53DD" w14:paraId="7885BDB8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7A52621D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HOMA2-IR</w:t>
            </w:r>
          </w:p>
        </w:tc>
        <w:tc>
          <w:tcPr>
            <w:tcW w:w="2694" w:type="dxa"/>
            <w:noWrap/>
          </w:tcPr>
          <w:p w14:paraId="458AF31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1.56 (0.79)</w:t>
            </w:r>
          </w:p>
        </w:tc>
        <w:tc>
          <w:tcPr>
            <w:tcW w:w="2551" w:type="dxa"/>
            <w:noWrap/>
          </w:tcPr>
          <w:p w14:paraId="7E9D6DAF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1.34 (0.77)</w:t>
            </w:r>
          </w:p>
        </w:tc>
      </w:tr>
      <w:tr w:rsidR="005B53DD" w:rsidRPr="005B53DD" w14:paraId="701617C5" w14:textId="77777777" w:rsidTr="00CE3D08">
        <w:trPr>
          <w:trHeight w:val="192"/>
        </w:trPr>
        <w:tc>
          <w:tcPr>
            <w:tcW w:w="3397" w:type="dxa"/>
            <w:noWrap/>
            <w:vAlign w:val="center"/>
            <w:hideMark/>
          </w:tcPr>
          <w:p w14:paraId="3DCC3275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Family history of type 2 diabetes (%)</w:t>
            </w:r>
          </w:p>
        </w:tc>
        <w:tc>
          <w:tcPr>
            <w:tcW w:w="2694" w:type="dxa"/>
            <w:noWrap/>
            <w:vAlign w:val="center"/>
          </w:tcPr>
          <w:p w14:paraId="5DB87AA9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4,278 (58.5%)</w:t>
            </w:r>
          </w:p>
        </w:tc>
        <w:tc>
          <w:tcPr>
            <w:tcW w:w="2551" w:type="dxa"/>
            <w:noWrap/>
            <w:vAlign w:val="center"/>
          </w:tcPr>
          <w:p w14:paraId="09467C2A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  <w:t>1,856 (79.6%)</w:t>
            </w:r>
          </w:p>
        </w:tc>
      </w:tr>
      <w:tr w:rsidR="005B53DD" w:rsidRPr="005B53DD" w14:paraId="57771863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1A9AC978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Self-reported comorbidities (%)</w:t>
            </w:r>
          </w:p>
        </w:tc>
        <w:tc>
          <w:tcPr>
            <w:tcW w:w="2694" w:type="dxa"/>
            <w:noWrap/>
            <w:vAlign w:val="center"/>
          </w:tcPr>
          <w:p w14:paraId="3F2FBF75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1,846 (27.8%)</w:t>
            </w:r>
          </w:p>
        </w:tc>
        <w:tc>
          <w:tcPr>
            <w:tcW w:w="2551" w:type="dxa"/>
            <w:noWrap/>
            <w:vAlign w:val="center"/>
          </w:tcPr>
          <w:p w14:paraId="25D0D48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1,019 (43.7%)</w:t>
            </w:r>
          </w:p>
        </w:tc>
      </w:tr>
      <w:tr w:rsidR="005B53DD" w:rsidRPr="005B53DD" w14:paraId="1376557C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0EEF6EC7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Level of education (%)</w:t>
            </w:r>
          </w:p>
        </w:tc>
        <w:tc>
          <w:tcPr>
            <w:tcW w:w="2694" w:type="dxa"/>
            <w:noWrap/>
            <w:vAlign w:val="center"/>
          </w:tcPr>
          <w:p w14:paraId="12796F7C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14:paraId="57B69B72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</w:p>
        </w:tc>
      </w:tr>
      <w:tr w:rsidR="005B53DD" w:rsidRPr="005B53DD" w14:paraId="1E4E1528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3DBA2D32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Primary education</w:t>
            </w:r>
          </w:p>
        </w:tc>
        <w:tc>
          <w:tcPr>
            <w:tcW w:w="2694" w:type="dxa"/>
            <w:noWrap/>
          </w:tcPr>
          <w:p w14:paraId="2A64A504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2,249 (30.7%)</w:t>
            </w:r>
          </w:p>
        </w:tc>
        <w:tc>
          <w:tcPr>
            <w:tcW w:w="2551" w:type="dxa"/>
            <w:noWrap/>
          </w:tcPr>
          <w:p w14:paraId="721B59B9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1,077 (46.2%)</w:t>
            </w:r>
          </w:p>
        </w:tc>
      </w:tr>
      <w:tr w:rsidR="005B53DD" w:rsidRPr="005B53DD" w14:paraId="775258D4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348E5841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Upper secondary level</w:t>
            </w:r>
          </w:p>
        </w:tc>
        <w:tc>
          <w:tcPr>
            <w:tcW w:w="2694" w:type="dxa"/>
            <w:noWrap/>
          </w:tcPr>
          <w:p w14:paraId="53DC7C58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2,920 (39.9%)</w:t>
            </w:r>
          </w:p>
        </w:tc>
        <w:tc>
          <w:tcPr>
            <w:tcW w:w="2551" w:type="dxa"/>
            <w:noWrap/>
          </w:tcPr>
          <w:p w14:paraId="4C9B27CA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419 (18.0%)</w:t>
            </w:r>
          </w:p>
        </w:tc>
      </w:tr>
      <w:tr w:rsidR="005B53DD" w:rsidRPr="005B53DD" w14:paraId="5CCA4D14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2D26C529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University or higher</w:t>
            </w:r>
          </w:p>
        </w:tc>
        <w:tc>
          <w:tcPr>
            <w:tcW w:w="2694" w:type="dxa"/>
            <w:noWrap/>
          </w:tcPr>
          <w:p w14:paraId="43669162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2,148 (29.4%)</w:t>
            </w:r>
          </w:p>
        </w:tc>
        <w:tc>
          <w:tcPr>
            <w:tcW w:w="2551" w:type="dxa"/>
            <w:noWrap/>
          </w:tcPr>
          <w:p w14:paraId="50E42E1F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836 (35.8%)</w:t>
            </w:r>
          </w:p>
        </w:tc>
      </w:tr>
      <w:tr w:rsidR="005B53DD" w:rsidRPr="005B53DD" w14:paraId="26145501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57FBCEBB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Self-reported physical activity (%)</w:t>
            </w: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vertAlign w:val="superscript"/>
                <w:lang w:eastAsia="sv-SE"/>
              </w:rPr>
              <w:t>*</w:t>
            </w:r>
          </w:p>
        </w:tc>
        <w:tc>
          <w:tcPr>
            <w:tcW w:w="2694" w:type="dxa"/>
            <w:noWrap/>
            <w:vAlign w:val="center"/>
          </w:tcPr>
          <w:p w14:paraId="7236CD4C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14:paraId="3B6ED5F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</w:p>
        </w:tc>
      </w:tr>
      <w:tr w:rsidR="005B53DD" w:rsidRPr="005B53DD" w14:paraId="763038F3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750DD822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 xml:space="preserve">Much lower/ Low </w:t>
            </w:r>
          </w:p>
        </w:tc>
        <w:tc>
          <w:tcPr>
            <w:tcW w:w="2694" w:type="dxa"/>
            <w:noWrap/>
          </w:tcPr>
          <w:p w14:paraId="2F298936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791 (10.8%)</w:t>
            </w:r>
          </w:p>
        </w:tc>
        <w:tc>
          <w:tcPr>
            <w:tcW w:w="2551" w:type="dxa"/>
            <w:noWrap/>
          </w:tcPr>
          <w:p w14:paraId="6781B601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1,285 (55.1%)</w:t>
            </w:r>
          </w:p>
        </w:tc>
      </w:tr>
      <w:tr w:rsidR="005B53DD" w:rsidRPr="005B53DD" w14:paraId="66D6A3EC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3305B465" w14:textId="77777777" w:rsidR="005B53DD" w:rsidRPr="005B53DD" w:rsidRDefault="005B53DD" w:rsidP="005B53DD">
            <w:pPr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Somewhat lower / Moderate</w:t>
            </w:r>
          </w:p>
        </w:tc>
        <w:tc>
          <w:tcPr>
            <w:tcW w:w="2694" w:type="dxa"/>
            <w:noWrap/>
          </w:tcPr>
          <w:p w14:paraId="7CE652B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3,989 (54.6%)</w:t>
            </w:r>
          </w:p>
        </w:tc>
        <w:tc>
          <w:tcPr>
            <w:tcW w:w="2551" w:type="dxa"/>
            <w:noWrap/>
          </w:tcPr>
          <w:p w14:paraId="2B012AE0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579 (24.8%)</w:t>
            </w:r>
          </w:p>
        </w:tc>
      </w:tr>
      <w:tr w:rsidR="005B53DD" w:rsidRPr="005B53DD" w14:paraId="29C087D9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535B78B0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Similar/ Vigorous</w:t>
            </w:r>
          </w:p>
        </w:tc>
        <w:tc>
          <w:tcPr>
            <w:tcW w:w="2694" w:type="dxa"/>
            <w:noWrap/>
          </w:tcPr>
          <w:p w14:paraId="7731DD9D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1,957 (26.8%)</w:t>
            </w:r>
          </w:p>
        </w:tc>
        <w:tc>
          <w:tcPr>
            <w:tcW w:w="2551" w:type="dxa"/>
            <w:noWrap/>
          </w:tcPr>
          <w:p w14:paraId="4F0FBC88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468 (20.1%)</w:t>
            </w:r>
          </w:p>
        </w:tc>
      </w:tr>
      <w:tr w:rsidR="005B53DD" w:rsidRPr="005B53DD" w14:paraId="5153CD15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5A284C86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Somewhat or much more</w:t>
            </w:r>
          </w:p>
        </w:tc>
        <w:tc>
          <w:tcPr>
            <w:tcW w:w="2694" w:type="dxa"/>
            <w:noWrap/>
          </w:tcPr>
          <w:p w14:paraId="570C8F77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575 ( 7.9%)</w:t>
            </w:r>
          </w:p>
        </w:tc>
        <w:tc>
          <w:tcPr>
            <w:tcW w:w="2551" w:type="dxa"/>
            <w:noWrap/>
            <w:vAlign w:val="center"/>
          </w:tcPr>
          <w:p w14:paraId="17E89975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</w:p>
        </w:tc>
      </w:tr>
      <w:tr w:rsidR="005B53DD" w:rsidRPr="005B53DD" w14:paraId="0B0B296E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16EF8595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v-SE"/>
              </w:rPr>
              <w:t>Current smoking (%)</w:t>
            </w:r>
          </w:p>
        </w:tc>
        <w:tc>
          <w:tcPr>
            <w:tcW w:w="2694" w:type="dxa"/>
            <w:noWrap/>
            <w:vAlign w:val="center"/>
          </w:tcPr>
          <w:p w14:paraId="7DE46EA1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1,925 (26.3%)</w:t>
            </w:r>
          </w:p>
        </w:tc>
        <w:tc>
          <w:tcPr>
            <w:tcW w:w="2551" w:type="dxa"/>
            <w:noWrap/>
            <w:vAlign w:val="center"/>
          </w:tcPr>
          <w:p w14:paraId="3F751DF6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  <w:t>566 (29.9%)</w:t>
            </w:r>
          </w:p>
        </w:tc>
      </w:tr>
      <w:tr w:rsidR="005B53DD" w:rsidRPr="005B53DD" w14:paraId="65794CCA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46412A3E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Prediabetes (ADA/ WHO)</w:t>
            </w:r>
          </w:p>
        </w:tc>
        <w:tc>
          <w:tcPr>
            <w:tcW w:w="2694" w:type="dxa"/>
            <w:noWrap/>
            <w:vAlign w:val="center"/>
          </w:tcPr>
          <w:p w14:paraId="4CFE58BA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654 (8.9%) / 374(5.1%)</w:t>
            </w:r>
          </w:p>
        </w:tc>
        <w:tc>
          <w:tcPr>
            <w:tcW w:w="2551" w:type="dxa"/>
            <w:noWrap/>
            <w:vAlign w:val="center"/>
          </w:tcPr>
          <w:p w14:paraId="549EA6F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NA</w:t>
            </w:r>
          </w:p>
        </w:tc>
      </w:tr>
      <w:tr w:rsidR="005B53DD" w:rsidRPr="005B53DD" w14:paraId="2D69DB17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7983DE83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IFG</w:t>
            </w:r>
          </w:p>
        </w:tc>
        <w:tc>
          <w:tcPr>
            <w:tcW w:w="2694" w:type="dxa"/>
            <w:noWrap/>
            <w:vAlign w:val="center"/>
          </w:tcPr>
          <w:p w14:paraId="52FC2E77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374 (5.1%)/ 94 (1.3%)</w:t>
            </w:r>
          </w:p>
        </w:tc>
        <w:tc>
          <w:tcPr>
            <w:tcW w:w="2551" w:type="dxa"/>
            <w:noWrap/>
            <w:vAlign w:val="center"/>
          </w:tcPr>
          <w:p w14:paraId="2F8F7435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  <w:t xml:space="preserve">322 (13.8%)/ 70 (3.0%) </w:t>
            </w:r>
          </w:p>
        </w:tc>
      </w:tr>
      <w:tr w:rsidR="005B53DD" w:rsidRPr="005B53DD" w14:paraId="184289C6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5106BFEB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IGT</w:t>
            </w:r>
          </w:p>
        </w:tc>
        <w:tc>
          <w:tcPr>
            <w:tcW w:w="2694" w:type="dxa"/>
            <w:noWrap/>
            <w:vAlign w:val="center"/>
          </w:tcPr>
          <w:p w14:paraId="0AFD8DEA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191 (2.6%)/ 248 (3.4%)</w:t>
            </w:r>
          </w:p>
        </w:tc>
        <w:tc>
          <w:tcPr>
            <w:tcW w:w="2551" w:type="dxa"/>
            <w:noWrap/>
            <w:vAlign w:val="center"/>
          </w:tcPr>
          <w:p w14:paraId="3C3A00EE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  <w:t>NA</w:t>
            </w:r>
          </w:p>
        </w:tc>
      </w:tr>
      <w:tr w:rsidR="005B53DD" w:rsidRPr="005B53DD" w14:paraId="7DDAB67F" w14:textId="77777777" w:rsidTr="00CE3D08">
        <w:trPr>
          <w:trHeight w:val="192"/>
        </w:trPr>
        <w:tc>
          <w:tcPr>
            <w:tcW w:w="3397" w:type="dxa"/>
            <w:noWrap/>
            <w:vAlign w:val="center"/>
          </w:tcPr>
          <w:p w14:paraId="4BAC2634" w14:textId="77777777" w:rsidR="005B53DD" w:rsidRPr="005B53DD" w:rsidRDefault="005B53DD" w:rsidP="005B53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ja-JP"/>
              </w:rPr>
              <w:t>IFG+IGT</w:t>
            </w:r>
          </w:p>
        </w:tc>
        <w:tc>
          <w:tcPr>
            <w:tcW w:w="2694" w:type="dxa"/>
            <w:noWrap/>
            <w:vAlign w:val="center"/>
          </w:tcPr>
          <w:p w14:paraId="2642785A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89 (1.2%)/ 32(0.4%)</w:t>
            </w:r>
          </w:p>
        </w:tc>
        <w:tc>
          <w:tcPr>
            <w:tcW w:w="2551" w:type="dxa"/>
            <w:noWrap/>
            <w:vAlign w:val="center"/>
          </w:tcPr>
          <w:p w14:paraId="5F0FD7E8" w14:textId="77777777" w:rsidR="005B53DD" w:rsidRPr="005B53DD" w:rsidRDefault="005B53DD" w:rsidP="005B53D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ja-JP"/>
              </w:rPr>
              <w:t>NA</w:t>
            </w:r>
          </w:p>
        </w:tc>
      </w:tr>
    </w:tbl>
    <w:p w14:paraId="1601A8EB" w14:textId="7B2DAED4" w:rsidR="00610E37" w:rsidRDefault="005B53DD" w:rsidP="00610E37">
      <w:pPr>
        <w:spacing w:before="120" w:after="0"/>
        <w:rPr>
          <w:rFonts w:ascii="Times New Roman" w:eastAsiaTheme="minorEastAsia" w:hAnsi="Times New Roman" w:cs="Times New Roman"/>
          <w:noProof/>
          <w:lang w:val="en-US" w:eastAsia="ja-JP"/>
        </w:rPr>
      </w:pPr>
      <w:r w:rsidRPr="005B53DD">
        <w:rPr>
          <w:rFonts w:ascii="Times New Roman" w:eastAsiaTheme="minorEastAsia" w:hAnsi="Times New Roman" w:cs="Times New Roman"/>
          <w:noProof/>
          <w:lang w:val="en-US" w:eastAsia="ja-JP"/>
        </w:rPr>
        <w:t xml:space="preserve">SDPP: Stockholm Diabetes Preventive Program, MSC: Metabolic Syndrome Cohort, SD: Standard deviation, ADA: American Diabetes Association, IFG: Impaired fasting glucose, IGT: Impaired </w:t>
      </w:r>
      <w:r w:rsidRPr="005B53DD">
        <w:rPr>
          <w:rFonts w:ascii="Times New Roman" w:eastAsiaTheme="minorEastAsia" w:hAnsi="Times New Roman" w:cs="Times New Roman"/>
          <w:noProof/>
          <w:lang w:val="en-US" w:eastAsia="ja-JP"/>
        </w:rPr>
        <w:lastRenderedPageBreak/>
        <w:t>glucose tolerance . * Self-reported physical activity in SDPP  is categorized as “Much lower, Somewhat lower, Similar and Somewhat/much more physical activity” based on self reported questionnaires, while in MSC as  low, moderate and vigorous according to the international physical activity questionnaire (IPAQ).</w:t>
      </w:r>
    </w:p>
    <w:p w14:paraId="630CB7F4" w14:textId="77777777" w:rsidR="00610E37" w:rsidRPr="005B53DD" w:rsidRDefault="00610E37" w:rsidP="00610E37">
      <w:pPr>
        <w:spacing w:before="120" w:after="0"/>
        <w:rPr>
          <w:rFonts w:ascii="Times New Roman" w:eastAsiaTheme="minorEastAsia" w:hAnsi="Times New Roman" w:cs="Times New Roman"/>
          <w:noProof/>
          <w:lang w:val="en-US" w:eastAsia="ja-JP"/>
        </w:rPr>
      </w:pPr>
    </w:p>
    <w:p w14:paraId="77829989" w14:textId="77777777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  <w:t xml:space="preserve">Table S2. </w:t>
      </w:r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Determination of the number of clusters in the SDPP and MCS studies</w:t>
      </w:r>
    </w:p>
    <w:tbl>
      <w:tblPr>
        <w:tblStyle w:val="Tabellrutnt"/>
        <w:tblW w:w="4833" w:type="pct"/>
        <w:tblLayout w:type="fixed"/>
        <w:tblLook w:val="04A0" w:firstRow="1" w:lastRow="0" w:firstColumn="1" w:lastColumn="0" w:noHBand="0" w:noVBand="1"/>
      </w:tblPr>
      <w:tblGrid>
        <w:gridCol w:w="1172"/>
        <w:gridCol w:w="801"/>
        <w:gridCol w:w="848"/>
        <w:gridCol w:w="848"/>
        <w:gridCol w:w="844"/>
        <w:gridCol w:w="848"/>
        <w:gridCol w:w="848"/>
        <w:gridCol w:w="848"/>
        <w:gridCol w:w="844"/>
        <w:gridCol w:w="858"/>
      </w:tblGrid>
      <w:tr w:rsidR="005B53DD" w:rsidRPr="005B53DD" w14:paraId="348205EF" w14:textId="77777777" w:rsidTr="00CE3D08">
        <w:trPr>
          <w:trHeight w:val="372"/>
        </w:trPr>
        <w:tc>
          <w:tcPr>
            <w:tcW w:w="669" w:type="pct"/>
            <w:vAlign w:val="center"/>
          </w:tcPr>
          <w:p w14:paraId="68491447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4331" w:type="pct"/>
            <w:gridSpan w:val="9"/>
            <w:vAlign w:val="center"/>
          </w:tcPr>
          <w:p w14:paraId="569BDD3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Number of clusters (k)</w:t>
            </w:r>
          </w:p>
        </w:tc>
      </w:tr>
      <w:tr w:rsidR="005B53DD" w:rsidRPr="005B53DD" w14:paraId="159FB9DC" w14:textId="77777777" w:rsidTr="00CE3D08">
        <w:trPr>
          <w:trHeight w:val="499"/>
        </w:trPr>
        <w:tc>
          <w:tcPr>
            <w:tcW w:w="669" w:type="pct"/>
            <w:vAlign w:val="center"/>
          </w:tcPr>
          <w:p w14:paraId="7B2A66D4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Cohort</w:t>
            </w:r>
          </w:p>
        </w:tc>
        <w:tc>
          <w:tcPr>
            <w:tcW w:w="457" w:type="pct"/>
            <w:vAlign w:val="center"/>
          </w:tcPr>
          <w:p w14:paraId="24B7DE6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</w:t>
            </w:r>
          </w:p>
        </w:tc>
        <w:tc>
          <w:tcPr>
            <w:tcW w:w="484" w:type="pct"/>
            <w:vAlign w:val="center"/>
          </w:tcPr>
          <w:p w14:paraId="3CDB29B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2</w:t>
            </w:r>
          </w:p>
        </w:tc>
        <w:tc>
          <w:tcPr>
            <w:tcW w:w="484" w:type="pct"/>
            <w:vAlign w:val="center"/>
          </w:tcPr>
          <w:p w14:paraId="3EDD5D8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</w:p>
        </w:tc>
        <w:tc>
          <w:tcPr>
            <w:tcW w:w="482" w:type="pct"/>
            <w:vAlign w:val="center"/>
          </w:tcPr>
          <w:p w14:paraId="4D5AC9E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  <w:tc>
          <w:tcPr>
            <w:tcW w:w="484" w:type="pct"/>
            <w:vAlign w:val="center"/>
          </w:tcPr>
          <w:p w14:paraId="2F00A16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  <w:tc>
          <w:tcPr>
            <w:tcW w:w="484" w:type="pct"/>
            <w:vAlign w:val="center"/>
          </w:tcPr>
          <w:p w14:paraId="463C90E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6</w:t>
            </w:r>
          </w:p>
        </w:tc>
        <w:tc>
          <w:tcPr>
            <w:tcW w:w="484" w:type="pct"/>
            <w:vAlign w:val="center"/>
          </w:tcPr>
          <w:p w14:paraId="1C8FFFB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  <w:tc>
          <w:tcPr>
            <w:tcW w:w="482" w:type="pct"/>
            <w:vAlign w:val="center"/>
          </w:tcPr>
          <w:p w14:paraId="5B526E8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  <w:tc>
          <w:tcPr>
            <w:tcW w:w="487" w:type="pct"/>
            <w:vAlign w:val="center"/>
          </w:tcPr>
          <w:p w14:paraId="04679A8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5B53DD" w:rsidRPr="005B53DD" w14:paraId="6B1EAD9A" w14:textId="77777777" w:rsidTr="00CE3D08">
        <w:trPr>
          <w:trHeight w:val="302"/>
        </w:trPr>
        <w:tc>
          <w:tcPr>
            <w:tcW w:w="669" w:type="pct"/>
            <w:vAlign w:val="center"/>
          </w:tcPr>
          <w:p w14:paraId="2BA9E2B9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SDPP</w:t>
            </w:r>
          </w:p>
        </w:tc>
        <w:tc>
          <w:tcPr>
            <w:tcW w:w="457" w:type="pct"/>
            <w:vAlign w:val="center"/>
          </w:tcPr>
          <w:p w14:paraId="2F6B96B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-0.059</w:t>
            </w:r>
          </w:p>
        </w:tc>
        <w:tc>
          <w:tcPr>
            <w:tcW w:w="484" w:type="pct"/>
            <w:vAlign w:val="center"/>
          </w:tcPr>
          <w:p w14:paraId="4D81DD9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-0.033</w:t>
            </w:r>
          </w:p>
        </w:tc>
        <w:tc>
          <w:tcPr>
            <w:tcW w:w="484" w:type="pct"/>
            <w:vAlign w:val="center"/>
          </w:tcPr>
          <w:p w14:paraId="0A1E03E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-0.012</w:t>
            </w:r>
          </w:p>
        </w:tc>
        <w:tc>
          <w:tcPr>
            <w:tcW w:w="482" w:type="pct"/>
            <w:vAlign w:val="center"/>
          </w:tcPr>
          <w:p w14:paraId="3C87A06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-0.016</w:t>
            </w:r>
          </w:p>
        </w:tc>
        <w:tc>
          <w:tcPr>
            <w:tcW w:w="484" w:type="pct"/>
            <w:vAlign w:val="center"/>
          </w:tcPr>
          <w:p w14:paraId="3A21B58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-0.010</w:t>
            </w:r>
          </w:p>
        </w:tc>
        <w:tc>
          <w:tcPr>
            <w:tcW w:w="484" w:type="pct"/>
            <w:vAlign w:val="center"/>
          </w:tcPr>
          <w:p w14:paraId="3A3E16F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0.000</w:t>
            </w:r>
          </w:p>
        </w:tc>
        <w:tc>
          <w:tcPr>
            <w:tcW w:w="484" w:type="pct"/>
            <w:vAlign w:val="center"/>
          </w:tcPr>
          <w:p w14:paraId="7B05006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0.004</w:t>
            </w:r>
          </w:p>
        </w:tc>
        <w:tc>
          <w:tcPr>
            <w:tcW w:w="482" w:type="pct"/>
            <w:vAlign w:val="center"/>
          </w:tcPr>
          <w:p w14:paraId="09ECC84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-0.006</w:t>
            </w:r>
          </w:p>
        </w:tc>
        <w:tc>
          <w:tcPr>
            <w:tcW w:w="487" w:type="pct"/>
            <w:vAlign w:val="center"/>
          </w:tcPr>
          <w:p w14:paraId="5BCD395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-0.003</w:t>
            </w:r>
          </w:p>
        </w:tc>
      </w:tr>
      <w:tr w:rsidR="005B53DD" w:rsidRPr="005B53DD" w14:paraId="3EC68E3F" w14:textId="77777777" w:rsidTr="00CE3D08">
        <w:trPr>
          <w:trHeight w:val="499"/>
        </w:trPr>
        <w:tc>
          <w:tcPr>
            <w:tcW w:w="669" w:type="pct"/>
            <w:vAlign w:val="center"/>
          </w:tcPr>
          <w:p w14:paraId="12F6E0B6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MSC</w:t>
            </w:r>
          </w:p>
        </w:tc>
        <w:tc>
          <w:tcPr>
            <w:tcW w:w="457" w:type="pct"/>
            <w:vAlign w:val="center"/>
          </w:tcPr>
          <w:p w14:paraId="2417720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-0.049</w:t>
            </w:r>
          </w:p>
        </w:tc>
        <w:tc>
          <w:tcPr>
            <w:tcW w:w="484" w:type="pct"/>
            <w:vAlign w:val="center"/>
          </w:tcPr>
          <w:p w14:paraId="327E03B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-0.026</w:t>
            </w:r>
          </w:p>
        </w:tc>
        <w:tc>
          <w:tcPr>
            <w:tcW w:w="484" w:type="pct"/>
            <w:vAlign w:val="center"/>
          </w:tcPr>
          <w:p w14:paraId="2761F59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-0.001</w:t>
            </w:r>
          </w:p>
        </w:tc>
        <w:tc>
          <w:tcPr>
            <w:tcW w:w="482" w:type="pct"/>
            <w:vAlign w:val="center"/>
          </w:tcPr>
          <w:p w14:paraId="7416DDA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-0.007</w:t>
            </w:r>
          </w:p>
        </w:tc>
        <w:tc>
          <w:tcPr>
            <w:tcW w:w="484" w:type="pct"/>
            <w:vAlign w:val="center"/>
          </w:tcPr>
          <w:p w14:paraId="2C42DE1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-0.008</w:t>
            </w:r>
          </w:p>
        </w:tc>
        <w:tc>
          <w:tcPr>
            <w:tcW w:w="484" w:type="pct"/>
            <w:vAlign w:val="center"/>
          </w:tcPr>
          <w:p w14:paraId="1C4EBA4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0.001</w:t>
            </w:r>
          </w:p>
        </w:tc>
        <w:tc>
          <w:tcPr>
            <w:tcW w:w="484" w:type="pct"/>
            <w:vAlign w:val="center"/>
          </w:tcPr>
          <w:p w14:paraId="134DDA5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0.004</w:t>
            </w:r>
          </w:p>
        </w:tc>
        <w:tc>
          <w:tcPr>
            <w:tcW w:w="482" w:type="pct"/>
            <w:vAlign w:val="center"/>
          </w:tcPr>
          <w:p w14:paraId="2CBD0DB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-0.003</w:t>
            </w:r>
          </w:p>
        </w:tc>
        <w:tc>
          <w:tcPr>
            <w:tcW w:w="487" w:type="pct"/>
            <w:vAlign w:val="center"/>
          </w:tcPr>
          <w:p w14:paraId="6BC34F5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-0.000</w:t>
            </w:r>
          </w:p>
        </w:tc>
      </w:tr>
    </w:tbl>
    <w:p w14:paraId="196391D5" w14:textId="77777777" w:rsidR="00610E37" w:rsidRDefault="005B53DD" w:rsidP="00610E37">
      <w:pPr>
        <w:rPr>
          <w:rFonts w:ascii="Times New Roman" w:eastAsia="MS Mincho" w:hAnsi="Times New Roman" w:cs="Arial"/>
          <w:b/>
          <w:sz w:val="24"/>
          <w:szCs w:val="20"/>
          <w:lang w:val="en-US" w:eastAsia="ja-JP"/>
        </w:rPr>
      </w:pPr>
      <w:r w:rsidRPr="005B53DD">
        <w:rPr>
          <w:rFonts w:ascii="Times New Roman" w:eastAsiaTheme="minorEastAsia" w:hAnsi="Times New Roman" w:cs="Times New Roman"/>
          <w:lang w:val="en-US"/>
        </w:rPr>
        <w:t>Comparisons of different numbers of clusters according to equation (2). The optimal number of clusters is six in both data sets.</w:t>
      </w:r>
      <w:r w:rsidR="00610E37" w:rsidRPr="005B53DD">
        <w:rPr>
          <w:rFonts w:ascii="Times New Roman" w:eastAsia="MS Mincho" w:hAnsi="Times New Roman" w:cs="Arial"/>
          <w:b/>
          <w:sz w:val="24"/>
          <w:szCs w:val="20"/>
          <w:lang w:val="en-US" w:eastAsia="ja-JP"/>
        </w:rPr>
        <w:t xml:space="preserve"> </w:t>
      </w:r>
    </w:p>
    <w:p w14:paraId="7A6F4A34" w14:textId="77777777" w:rsidR="00610E37" w:rsidRDefault="00610E37" w:rsidP="00610E37">
      <w:pPr>
        <w:rPr>
          <w:rFonts w:ascii="Times New Roman" w:eastAsia="MS Mincho" w:hAnsi="Times New Roman" w:cs="Arial"/>
          <w:b/>
          <w:sz w:val="24"/>
          <w:szCs w:val="20"/>
          <w:lang w:val="en-US" w:eastAsia="ja-JP"/>
        </w:rPr>
      </w:pPr>
    </w:p>
    <w:p w14:paraId="183D43CE" w14:textId="24FD02DD" w:rsidR="005B53DD" w:rsidRPr="005B53DD" w:rsidRDefault="005B53DD" w:rsidP="00610E37">
      <w:pPr>
        <w:rPr>
          <w:rFonts w:ascii="Times New Roman" w:eastAsia="MS Mincho" w:hAnsi="Times New Roman" w:cs="Arial"/>
          <w:bCs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Arial"/>
          <w:b/>
          <w:sz w:val="24"/>
          <w:szCs w:val="20"/>
          <w:lang w:val="en-US" w:eastAsia="ja-JP"/>
        </w:rPr>
        <w:t xml:space="preserve">Table S3. </w:t>
      </w:r>
      <w:r w:rsidRPr="005B53DD">
        <w:rPr>
          <w:rFonts w:ascii="Times New Roman" w:eastAsia="MS Mincho" w:hAnsi="Times New Roman" w:cs="Arial"/>
          <w:bCs/>
          <w:sz w:val="24"/>
          <w:szCs w:val="20"/>
          <w:lang w:val="en-US" w:eastAsia="ja-JP"/>
        </w:rPr>
        <w:t>Mean Jaccard similarity of the cluster categories in the SDPP and MSC studies.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122"/>
        <w:gridCol w:w="2130"/>
      </w:tblGrid>
      <w:tr w:rsidR="005B53DD" w:rsidRPr="005B53DD" w14:paraId="38471758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015EFBAC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Clusters</w:t>
            </w:r>
          </w:p>
        </w:tc>
        <w:tc>
          <w:tcPr>
            <w:tcW w:w="2122" w:type="dxa"/>
            <w:vAlign w:val="center"/>
          </w:tcPr>
          <w:p w14:paraId="33E9B40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SDPP</w:t>
            </w:r>
          </w:p>
        </w:tc>
        <w:tc>
          <w:tcPr>
            <w:tcW w:w="2130" w:type="dxa"/>
            <w:vAlign w:val="center"/>
          </w:tcPr>
          <w:p w14:paraId="27AD23E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MSC</w:t>
            </w:r>
          </w:p>
        </w:tc>
      </w:tr>
      <w:tr w:rsidR="005B53DD" w:rsidRPr="005B53DD" w14:paraId="51076D53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1A575291" w14:textId="5C7832E1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 xml:space="preserve">Very </w:t>
            </w:r>
            <w:proofErr w:type="gramStart"/>
            <w:r w:rsidR="00901F37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low-risk</w:t>
            </w:r>
            <w:proofErr w:type="gramEnd"/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 xml:space="preserve"> (VLR)</w:t>
            </w:r>
          </w:p>
        </w:tc>
        <w:tc>
          <w:tcPr>
            <w:tcW w:w="2122" w:type="dxa"/>
            <w:vAlign w:val="center"/>
          </w:tcPr>
          <w:p w14:paraId="23073A5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95.9%</w:t>
            </w:r>
          </w:p>
        </w:tc>
        <w:tc>
          <w:tcPr>
            <w:tcW w:w="2130" w:type="dxa"/>
            <w:vAlign w:val="center"/>
          </w:tcPr>
          <w:p w14:paraId="67555E1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91.5%</w:t>
            </w:r>
          </w:p>
        </w:tc>
      </w:tr>
      <w:tr w:rsidR="005B53DD" w:rsidRPr="005B53DD" w14:paraId="26C3F889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24F9E23E" w14:textId="0A4189EA" w:rsidR="005B53DD" w:rsidRPr="005B53DD" w:rsidRDefault="00901F37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Low-risk</w:t>
            </w:r>
            <w:r w:rsidR="005B53DD"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 xml:space="preserve"> low beta cell function (LRLB)</w:t>
            </w:r>
          </w:p>
        </w:tc>
        <w:tc>
          <w:tcPr>
            <w:tcW w:w="2122" w:type="dxa"/>
            <w:vAlign w:val="center"/>
          </w:tcPr>
          <w:p w14:paraId="21693D3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94.1%</w:t>
            </w:r>
          </w:p>
        </w:tc>
        <w:tc>
          <w:tcPr>
            <w:tcW w:w="2130" w:type="dxa"/>
            <w:vAlign w:val="center"/>
          </w:tcPr>
          <w:p w14:paraId="5D5F296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88.9%</w:t>
            </w:r>
          </w:p>
        </w:tc>
      </w:tr>
      <w:tr w:rsidR="005B53DD" w:rsidRPr="005B53DD" w14:paraId="3DDF6D03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47226860" w14:textId="3A7B7C97" w:rsidR="005B53DD" w:rsidRPr="005B53DD" w:rsidRDefault="00901F37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Low-risk</w:t>
            </w:r>
            <w:r w:rsidR="005B53DD"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 xml:space="preserve"> high beta cell function (LRHB)</w:t>
            </w:r>
          </w:p>
        </w:tc>
        <w:tc>
          <w:tcPr>
            <w:tcW w:w="2122" w:type="dxa"/>
            <w:vAlign w:val="center"/>
          </w:tcPr>
          <w:p w14:paraId="0E0B051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92.7%</w:t>
            </w:r>
          </w:p>
        </w:tc>
        <w:tc>
          <w:tcPr>
            <w:tcW w:w="2130" w:type="dxa"/>
            <w:vAlign w:val="center"/>
          </w:tcPr>
          <w:p w14:paraId="57CF118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88.3%</w:t>
            </w:r>
          </w:p>
        </w:tc>
      </w:tr>
      <w:tr w:rsidR="005B53DD" w:rsidRPr="005B53DD" w14:paraId="2D35EEE4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3F65DC30" w14:textId="00777CAC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High</w:t>
            </w:r>
            <w:r w:rsidR="007A28E5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-</w:t>
            </w: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risk high blood pressure (HRHBP)</w:t>
            </w:r>
          </w:p>
        </w:tc>
        <w:tc>
          <w:tcPr>
            <w:tcW w:w="2122" w:type="dxa"/>
            <w:vAlign w:val="center"/>
          </w:tcPr>
          <w:p w14:paraId="41BCFDF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88.5%</w:t>
            </w:r>
          </w:p>
        </w:tc>
        <w:tc>
          <w:tcPr>
            <w:tcW w:w="2130" w:type="dxa"/>
            <w:vAlign w:val="center"/>
          </w:tcPr>
          <w:p w14:paraId="0A6704F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87.4%</w:t>
            </w:r>
          </w:p>
        </w:tc>
      </w:tr>
      <w:tr w:rsidR="005B53DD" w:rsidRPr="005B53DD" w14:paraId="764AABEC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091A6A09" w14:textId="448F9649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High</w:t>
            </w:r>
            <w:r w:rsidR="007A28E5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-</w:t>
            </w: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risk beta cell failure (HRBF)</w:t>
            </w:r>
          </w:p>
        </w:tc>
        <w:tc>
          <w:tcPr>
            <w:tcW w:w="2122" w:type="dxa"/>
            <w:vAlign w:val="center"/>
          </w:tcPr>
          <w:p w14:paraId="5562A08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91.4%</w:t>
            </w:r>
          </w:p>
        </w:tc>
        <w:tc>
          <w:tcPr>
            <w:tcW w:w="2130" w:type="dxa"/>
            <w:vAlign w:val="center"/>
          </w:tcPr>
          <w:p w14:paraId="43B4486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95.1%</w:t>
            </w:r>
          </w:p>
        </w:tc>
      </w:tr>
      <w:tr w:rsidR="005B53DD" w:rsidRPr="005B53DD" w14:paraId="54257765" w14:textId="77777777" w:rsidTr="00CE3D08">
        <w:trPr>
          <w:trHeight w:val="265"/>
        </w:trPr>
        <w:tc>
          <w:tcPr>
            <w:tcW w:w="4248" w:type="dxa"/>
            <w:vAlign w:val="center"/>
          </w:tcPr>
          <w:p w14:paraId="29B27D63" w14:textId="39DB4BB6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High</w:t>
            </w:r>
            <w:r w:rsidR="007A28E5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-</w:t>
            </w: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risk insulin resistance (HRIR)</w:t>
            </w:r>
          </w:p>
        </w:tc>
        <w:tc>
          <w:tcPr>
            <w:tcW w:w="2122" w:type="dxa"/>
            <w:vAlign w:val="center"/>
          </w:tcPr>
          <w:p w14:paraId="3F81142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94.5%</w:t>
            </w:r>
          </w:p>
        </w:tc>
        <w:tc>
          <w:tcPr>
            <w:tcW w:w="2130" w:type="dxa"/>
            <w:vAlign w:val="center"/>
          </w:tcPr>
          <w:p w14:paraId="55EF308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89.8%</w:t>
            </w:r>
          </w:p>
        </w:tc>
      </w:tr>
    </w:tbl>
    <w:p w14:paraId="3C623B0D" w14:textId="77777777" w:rsidR="005B53DD" w:rsidRDefault="005B53DD" w:rsidP="005B53DD">
      <w:pPr>
        <w:rPr>
          <w:rFonts w:ascii="Times New Roman" w:eastAsiaTheme="minorEastAsia" w:hAnsi="Times New Roman" w:cs="Times New Roman"/>
          <w:lang w:val="en-US"/>
        </w:rPr>
      </w:pPr>
      <w:r w:rsidRPr="005B53DD">
        <w:rPr>
          <w:rFonts w:ascii="Times New Roman" w:eastAsiaTheme="minorEastAsia" w:hAnsi="Times New Roman" w:cs="Times New Roman"/>
          <w:lang w:val="en-US"/>
        </w:rPr>
        <w:t>Jaccard similarity was estimated by reiterating the cluster algorithm using 1,000 bootstrap samples in each study. The index measures the magnitude of concordance between different iterations. Clusters with a coefficient greater than 75% are considered stable.</w:t>
      </w:r>
    </w:p>
    <w:p w14:paraId="654E0B2D" w14:textId="77777777" w:rsidR="00BB4EB3" w:rsidRDefault="00BB4EB3" w:rsidP="005B53DD">
      <w:pPr>
        <w:rPr>
          <w:rFonts w:ascii="Times New Roman" w:eastAsiaTheme="minorEastAsia" w:hAnsi="Times New Roman" w:cs="Times New Roman"/>
          <w:lang w:val="en-US" w:eastAsia="ja-JP"/>
        </w:rPr>
        <w:sectPr w:rsidR="00BB4E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FC4EF7" w14:textId="77777777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  <w:lastRenderedPageBreak/>
        <w:t xml:space="preserve">Table S4. </w:t>
      </w:r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Pairwise comparisons of the association between cluster membership and incidence of type 2 diabetes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2"/>
        <w:gridCol w:w="1407"/>
        <w:gridCol w:w="1417"/>
        <w:gridCol w:w="1418"/>
        <w:gridCol w:w="1275"/>
        <w:gridCol w:w="1276"/>
      </w:tblGrid>
      <w:tr w:rsidR="005B53DD" w:rsidRPr="005B53DD" w14:paraId="24BDFDB5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366E397D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SDPP</w:t>
            </w:r>
          </w:p>
        </w:tc>
        <w:tc>
          <w:tcPr>
            <w:tcW w:w="1407" w:type="dxa"/>
            <w:vAlign w:val="center"/>
          </w:tcPr>
          <w:p w14:paraId="3DA04F7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VLR</w:t>
            </w:r>
          </w:p>
        </w:tc>
        <w:tc>
          <w:tcPr>
            <w:tcW w:w="1417" w:type="dxa"/>
            <w:vAlign w:val="center"/>
          </w:tcPr>
          <w:p w14:paraId="4A1681D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LRLB</w:t>
            </w:r>
          </w:p>
        </w:tc>
        <w:tc>
          <w:tcPr>
            <w:tcW w:w="1418" w:type="dxa"/>
            <w:vAlign w:val="center"/>
          </w:tcPr>
          <w:p w14:paraId="5C810D7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LRHB</w:t>
            </w:r>
          </w:p>
        </w:tc>
        <w:tc>
          <w:tcPr>
            <w:tcW w:w="1275" w:type="dxa"/>
            <w:vAlign w:val="center"/>
          </w:tcPr>
          <w:p w14:paraId="5DEE9D0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HRHBP</w:t>
            </w:r>
          </w:p>
        </w:tc>
        <w:tc>
          <w:tcPr>
            <w:tcW w:w="1276" w:type="dxa"/>
            <w:vAlign w:val="center"/>
          </w:tcPr>
          <w:p w14:paraId="260B90C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HRBF</w:t>
            </w:r>
          </w:p>
        </w:tc>
      </w:tr>
      <w:tr w:rsidR="005B53DD" w:rsidRPr="005B53DD" w14:paraId="1BB3DF90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27BAD34F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LRLB</w:t>
            </w:r>
          </w:p>
        </w:tc>
        <w:tc>
          <w:tcPr>
            <w:tcW w:w="1407" w:type="dxa"/>
            <w:vAlign w:val="center"/>
          </w:tcPr>
          <w:p w14:paraId="45494D4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1.89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28264C8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(1.24, 2.87)</w:t>
            </w:r>
          </w:p>
        </w:tc>
        <w:tc>
          <w:tcPr>
            <w:tcW w:w="1417" w:type="dxa"/>
            <w:vAlign w:val="center"/>
          </w:tcPr>
          <w:p w14:paraId="60527F3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7E6D58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D9A0AC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99D899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15089BD5" w14:textId="77777777" w:rsidTr="00CE3D08">
        <w:trPr>
          <w:trHeight w:val="267"/>
        </w:trPr>
        <w:tc>
          <w:tcPr>
            <w:tcW w:w="1282" w:type="dxa"/>
            <w:vAlign w:val="center"/>
          </w:tcPr>
          <w:p w14:paraId="5E946742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LRHB</w:t>
            </w:r>
          </w:p>
        </w:tc>
        <w:tc>
          <w:tcPr>
            <w:tcW w:w="1407" w:type="dxa"/>
            <w:vAlign w:val="center"/>
          </w:tcPr>
          <w:p w14:paraId="7E4A47E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2.60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02B595E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(1.70, 3.97)</w:t>
            </w:r>
          </w:p>
        </w:tc>
        <w:tc>
          <w:tcPr>
            <w:tcW w:w="1417" w:type="dxa"/>
            <w:vAlign w:val="center"/>
          </w:tcPr>
          <w:p w14:paraId="0B458EA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1.38</w:t>
            </w:r>
          </w:p>
          <w:p w14:paraId="067F33B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(0.95, 1.99)</w:t>
            </w:r>
          </w:p>
        </w:tc>
        <w:tc>
          <w:tcPr>
            <w:tcW w:w="1418" w:type="dxa"/>
            <w:vAlign w:val="center"/>
          </w:tcPr>
          <w:p w14:paraId="58EF5B5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1901D2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0BC5B5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6CB57ECA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064EE697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HRHB</w:t>
            </w:r>
          </w:p>
        </w:tc>
        <w:tc>
          <w:tcPr>
            <w:tcW w:w="1407" w:type="dxa"/>
            <w:vAlign w:val="center"/>
          </w:tcPr>
          <w:p w14:paraId="1BF0E8C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6.20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041EDD6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(4.14, 9.29)</w:t>
            </w:r>
          </w:p>
        </w:tc>
        <w:tc>
          <w:tcPr>
            <w:tcW w:w="1417" w:type="dxa"/>
            <w:vAlign w:val="center"/>
          </w:tcPr>
          <w:p w14:paraId="2F21953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3.28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366600B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(2.34, 4.61)</w:t>
            </w:r>
          </w:p>
        </w:tc>
        <w:tc>
          <w:tcPr>
            <w:tcW w:w="1418" w:type="dxa"/>
            <w:vAlign w:val="center"/>
          </w:tcPr>
          <w:p w14:paraId="0235A2D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2.39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5EB463A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(1.68, 3.39)</w:t>
            </w:r>
          </w:p>
        </w:tc>
        <w:tc>
          <w:tcPr>
            <w:tcW w:w="1275" w:type="dxa"/>
            <w:vAlign w:val="center"/>
          </w:tcPr>
          <w:p w14:paraId="495FBFD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94F27C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4F8987FB" w14:textId="77777777" w:rsidTr="00CE3D08">
        <w:trPr>
          <w:trHeight w:val="267"/>
        </w:trPr>
        <w:tc>
          <w:tcPr>
            <w:tcW w:w="1282" w:type="dxa"/>
            <w:vAlign w:val="center"/>
          </w:tcPr>
          <w:p w14:paraId="09CDFD81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HRHBP</w:t>
            </w:r>
          </w:p>
        </w:tc>
        <w:tc>
          <w:tcPr>
            <w:tcW w:w="1407" w:type="dxa"/>
            <w:vAlign w:val="center"/>
          </w:tcPr>
          <w:p w14:paraId="3E82E38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8.71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3E60801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(6.05, 12.56)</w:t>
            </w:r>
          </w:p>
        </w:tc>
        <w:tc>
          <w:tcPr>
            <w:tcW w:w="1417" w:type="dxa"/>
            <w:vAlign w:val="center"/>
          </w:tcPr>
          <w:p w14:paraId="171E294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4.62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7B2344F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(3.44, 6.20)</w:t>
            </w:r>
          </w:p>
        </w:tc>
        <w:tc>
          <w:tcPr>
            <w:tcW w:w="1418" w:type="dxa"/>
            <w:vAlign w:val="center"/>
          </w:tcPr>
          <w:p w14:paraId="131A8BD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3.35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7C732FD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(2.47, 4.55)</w:t>
            </w:r>
          </w:p>
        </w:tc>
        <w:tc>
          <w:tcPr>
            <w:tcW w:w="1275" w:type="dxa"/>
            <w:vAlign w:val="center"/>
          </w:tcPr>
          <w:p w14:paraId="69FF0D3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1.41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</w:t>
            </w:r>
          </w:p>
          <w:p w14:paraId="78A9F2B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(1.07, 1.85)</w:t>
            </w:r>
          </w:p>
        </w:tc>
        <w:tc>
          <w:tcPr>
            <w:tcW w:w="1276" w:type="dxa"/>
            <w:vAlign w:val="center"/>
          </w:tcPr>
          <w:p w14:paraId="2AD1D94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07F14F4A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6A328671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HRIR</w:t>
            </w:r>
          </w:p>
        </w:tc>
        <w:tc>
          <w:tcPr>
            <w:tcW w:w="1407" w:type="dxa"/>
            <w:vAlign w:val="center"/>
          </w:tcPr>
          <w:p w14:paraId="2F5C8A3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14.06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0C2F792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(9.46, 20.88)</w:t>
            </w:r>
          </w:p>
        </w:tc>
        <w:tc>
          <w:tcPr>
            <w:tcW w:w="1417" w:type="dxa"/>
            <w:vAlign w:val="center"/>
          </w:tcPr>
          <w:p w14:paraId="1446F1A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7.45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00B2825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(5.35, 10.37)</w:t>
            </w:r>
          </w:p>
        </w:tc>
        <w:tc>
          <w:tcPr>
            <w:tcW w:w="1418" w:type="dxa"/>
            <w:vAlign w:val="center"/>
          </w:tcPr>
          <w:p w14:paraId="5B40280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5.41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474CE3F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(3.86, 7.58)</w:t>
            </w:r>
          </w:p>
        </w:tc>
        <w:tc>
          <w:tcPr>
            <w:tcW w:w="1275" w:type="dxa"/>
            <w:vAlign w:val="center"/>
          </w:tcPr>
          <w:p w14:paraId="6BD197D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2.27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62BA5C7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(1.66, 3.10)</w:t>
            </w:r>
          </w:p>
        </w:tc>
        <w:tc>
          <w:tcPr>
            <w:tcW w:w="1276" w:type="dxa"/>
            <w:vAlign w:val="center"/>
          </w:tcPr>
          <w:p w14:paraId="227ACB0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1.61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5BCAA38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(1.24, 2.09)</w:t>
            </w:r>
          </w:p>
        </w:tc>
      </w:tr>
      <w:tr w:rsidR="005B53DD" w:rsidRPr="005B53DD" w14:paraId="4F54129E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4F7B6F0C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MSC</w:t>
            </w:r>
          </w:p>
        </w:tc>
        <w:tc>
          <w:tcPr>
            <w:tcW w:w="1407" w:type="dxa"/>
            <w:vAlign w:val="center"/>
          </w:tcPr>
          <w:p w14:paraId="4D5FFCC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VLR</w:t>
            </w:r>
          </w:p>
        </w:tc>
        <w:tc>
          <w:tcPr>
            <w:tcW w:w="1417" w:type="dxa"/>
            <w:vAlign w:val="center"/>
          </w:tcPr>
          <w:p w14:paraId="7671E4F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LRLB</w:t>
            </w:r>
          </w:p>
        </w:tc>
        <w:tc>
          <w:tcPr>
            <w:tcW w:w="1418" w:type="dxa"/>
            <w:vAlign w:val="center"/>
          </w:tcPr>
          <w:p w14:paraId="0A6AB7A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LRHB</w:t>
            </w:r>
          </w:p>
        </w:tc>
        <w:tc>
          <w:tcPr>
            <w:tcW w:w="1275" w:type="dxa"/>
            <w:vAlign w:val="center"/>
          </w:tcPr>
          <w:p w14:paraId="3B14FB6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HRHBP</w:t>
            </w:r>
          </w:p>
        </w:tc>
        <w:tc>
          <w:tcPr>
            <w:tcW w:w="1276" w:type="dxa"/>
            <w:vAlign w:val="center"/>
          </w:tcPr>
          <w:p w14:paraId="2EFD87E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HRBF</w:t>
            </w:r>
          </w:p>
        </w:tc>
      </w:tr>
      <w:tr w:rsidR="005B53DD" w:rsidRPr="005B53DD" w14:paraId="74112C43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675B25D7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LRLB</w:t>
            </w:r>
          </w:p>
        </w:tc>
        <w:tc>
          <w:tcPr>
            <w:tcW w:w="1407" w:type="dxa"/>
            <w:vAlign w:val="center"/>
          </w:tcPr>
          <w:p w14:paraId="2EC79F4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2.11</w:t>
            </w:r>
          </w:p>
          <w:p w14:paraId="3B35DEB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(0.63, 7.08)</w:t>
            </w:r>
          </w:p>
        </w:tc>
        <w:tc>
          <w:tcPr>
            <w:tcW w:w="1417" w:type="dxa"/>
            <w:vAlign w:val="center"/>
          </w:tcPr>
          <w:p w14:paraId="1CAD618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28446F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7A395B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9B4B1A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633F4D48" w14:textId="77777777" w:rsidTr="00CE3D08">
        <w:trPr>
          <w:trHeight w:val="267"/>
        </w:trPr>
        <w:tc>
          <w:tcPr>
            <w:tcW w:w="1282" w:type="dxa"/>
            <w:vAlign w:val="center"/>
          </w:tcPr>
          <w:p w14:paraId="51DBEE31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LRHB</w:t>
            </w:r>
          </w:p>
        </w:tc>
        <w:tc>
          <w:tcPr>
            <w:tcW w:w="1407" w:type="dxa"/>
            <w:vAlign w:val="center"/>
          </w:tcPr>
          <w:p w14:paraId="7D4D9E5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1.72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25C0A04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(1.44, 2.06)</w:t>
            </w:r>
          </w:p>
        </w:tc>
        <w:tc>
          <w:tcPr>
            <w:tcW w:w="1417" w:type="dxa"/>
            <w:vAlign w:val="center"/>
          </w:tcPr>
          <w:p w14:paraId="69D1F65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0.82</w:t>
            </w:r>
          </w:p>
          <w:p w14:paraId="36E4886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(0.21, 3.23)</w:t>
            </w:r>
          </w:p>
        </w:tc>
        <w:tc>
          <w:tcPr>
            <w:tcW w:w="1418" w:type="dxa"/>
            <w:vAlign w:val="center"/>
          </w:tcPr>
          <w:p w14:paraId="7851A99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FE4CFD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80642D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4ED3576E" w14:textId="77777777" w:rsidTr="00CE3D08">
        <w:trPr>
          <w:trHeight w:val="281"/>
        </w:trPr>
        <w:tc>
          <w:tcPr>
            <w:tcW w:w="1282" w:type="dxa"/>
            <w:vAlign w:val="center"/>
          </w:tcPr>
          <w:p w14:paraId="0E84A3D1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HRHBP</w:t>
            </w:r>
          </w:p>
        </w:tc>
        <w:tc>
          <w:tcPr>
            <w:tcW w:w="1407" w:type="dxa"/>
            <w:vAlign w:val="center"/>
          </w:tcPr>
          <w:p w14:paraId="118D488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5.63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7424B82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(2.12, 14.95)</w:t>
            </w:r>
          </w:p>
        </w:tc>
        <w:tc>
          <w:tcPr>
            <w:tcW w:w="1417" w:type="dxa"/>
            <w:vAlign w:val="center"/>
          </w:tcPr>
          <w:p w14:paraId="3FB9070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2.66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384FA28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(1.82, 3.89)</w:t>
            </w:r>
          </w:p>
        </w:tc>
        <w:tc>
          <w:tcPr>
            <w:tcW w:w="1418" w:type="dxa"/>
            <w:vAlign w:val="center"/>
          </w:tcPr>
          <w:p w14:paraId="621B396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3.27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</w:t>
            </w:r>
          </w:p>
          <w:p w14:paraId="4977451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(1.03, 10.33)</w:t>
            </w:r>
          </w:p>
        </w:tc>
        <w:tc>
          <w:tcPr>
            <w:tcW w:w="1275" w:type="dxa"/>
            <w:vAlign w:val="center"/>
          </w:tcPr>
          <w:p w14:paraId="7FA2878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9362FC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5A8A9759" w14:textId="77777777" w:rsidTr="00CE3D08">
        <w:trPr>
          <w:trHeight w:val="267"/>
        </w:trPr>
        <w:tc>
          <w:tcPr>
            <w:tcW w:w="1282" w:type="dxa"/>
            <w:vAlign w:val="center"/>
          </w:tcPr>
          <w:p w14:paraId="1CCE0003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HRBF</w:t>
            </w:r>
          </w:p>
        </w:tc>
        <w:tc>
          <w:tcPr>
            <w:tcW w:w="1407" w:type="dxa"/>
            <w:vAlign w:val="center"/>
          </w:tcPr>
          <w:p w14:paraId="25E33FE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6.71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1A16EEA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(2.78, 16.17)</w:t>
            </w:r>
          </w:p>
        </w:tc>
        <w:tc>
          <w:tcPr>
            <w:tcW w:w="1417" w:type="dxa"/>
            <w:vAlign w:val="center"/>
          </w:tcPr>
          <w:p w14:paraId="7CCDB0C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3.17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7A0328F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(2.07, 4.86)</w:t>
            </w:r>
          </w:p>
        </w:tc>
        <w:tc>
          <w:tcPr>
            <w:tcW w:w="1418" w:type="dxa"/>
            <w:vAlign w:val="center"/>
          </w:tcPr>
          <w:p w14:paraId="66477CF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3.89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</w:t>
            </w:r>
          </w:p>
          <w:p w14:paraId="5F913B6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(1.35, 11.20)</w:t>
            </w:r>
          </w:p>
        </w:tc>
        <w:tc>
          <w:tcPr>
            <w:tcW w:w="1275" w:type="dxa"/>
            <w:vAlign w:val="center"/>
          </w:tcPr>
          <w:p w14:paraId="61A2044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1.19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</w:t>
            </w:r>
          </w:p>
          <w:p w14:paraId="1F8A709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(1.04, 1.36)</w:t>
            </w:r>
          </w:p>
        </w:tc>
        <w:tc>
          <w:tcPr>
            <w:tcW w:w="1276" w:type="dxa"/>
            <w:vAlign w:val="center"/>
          </w:tcPr>
          <w:p w14:paraId="1D0EC43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5B53DD" w:rsidRPr="005B53DD" w14:paraId="226B0148" w14:textId="77777777" w:rsidTr="00CE3D08">
        <w:trPr>
          <w:trHeight w:val="267"/>
        </w:trPr>
        <w:tc>
          <w:tcPr>
            <w:tcW w:w="1282" w:type="dxa"/>
            <w:vAlign w:val="center"/>
          </w:tcPr>
          <w:p w14:paraId="11DD069B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</w:rPr>
              <w:t>HRIR</w:t>
            </w:r>
          </w:p>
        </w:tc>
        <w:tc>
          <w:tcPr>
            <w:tcW w:w="1407" w:type="dxa"/>
            <w:vAlign w:val="center"/>
          </w:tcPr>
          <w:p w14:paraId="6753108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7.64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78AE931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(2.12, 27.52)</w:t>
            </w:r>
          </w:p>
        </w:tc>
        <w:tc>
          <w:tcPr>
            <w:tcW w:w="1417" w:type="dxa"/>
            <w:vAlign w:val="center"/>
          </w:tcPr>
          <w:p w14:paraId="5C4DB71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3.62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***</w:t>
            </w:r>
          </w:p>
          <w:p w14:paraId="2C75D03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(2.65, 4.92)</w:t>
            </w:r>
          </w:p>
        </w:tc>
        <w:tc>
          <w:tcPr>
            <w:tcW w:w="1418" w:type="dxa"/>
            <w:vAlign w:val="center"/>
          </w:tcPr>
          <w:p w14:paraId="3EC08B5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4.43</w:t>
            </w:r>
            <w:r w:rsidRPr="005B53DD">
              <w:rPr>
                <w:rFonts w:ascii="Times New Roman" w:eastAsiaTheme="minorEastAsia" w:hAnsi="Times New Roman" w:cs="Times New Roman"/>
                <w:vertAlign w:val="superscript"/>
              </w:rPr>
              <w:t>*</w:t>
            </w:r>
          </w:p>
          <w:p w14:paraId="7BAD800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(1.03, 19.00)</w:t>
            </w:r>
          </w:p>
        </w:tc>
        <w:tc>
          <w:tcPr>
            <w:tcW w:w="1275" w:type="dxa"/>
            <w:vAlign w:val="center"/>
          </w:tcPr>
          <w:p w14:paraId="4A14C7E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1.36</w:t>
            </w:r>
          </w:p>
          <w:p w14:paraId="1A4600C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(0.95, 1.93)</w:t>
            </w:r>
          </w:p>
        </w:tc>
        <w:tc>
          <w:tcPr>
            <w:tcW w:w="1276" w:type="dxa"/>
            <w:vAlign w:val="center"/>
          </w:tcPr>
          <w:p w14:paraId="0A99731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1.14</w:t>
            </w:r>
          </w:p>
          <w:p w14:paraId="3BE02EA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B53DD">
              <w:rPr>
                <w:rFonts w:ascii="Times New Roman" w:eastAsiaTheme="minorEastAsia" w:hAnsi="Times New Roman" w:cs="Times New Roman"/>
              </w:rPr>
              <w:t>(0.75, 1.73)</w:t>
            </w:r>
          </w:p>
        </w:tc>
      </w:tr>
    </w:tbl>
    <w:p w14:paraId="7E1CF29B" w14:textId="289AE0DB" w:rsidR="005B53DD" w:rsidRPr="005B53DD" w:rsidRDefault="005B53DD" w:rsidP="005B53DD">
      <w:pPr>
        <w:rPr>
          <w:rFonts w:ascii="Times New Roman" w:eastAsiaTheme="minorEastAsia" w:hAnsi="Times New Roman" w:cs="Times New Roman"/>
          <w:lang w:val="en-US" w:eastAsia="ja-JP"/>
        </w:rPr>
      </w:pP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SDPP: Stockholm diabetes prevention program, MSC: Metabolic syndrome cohort, VLR: Very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cluster, LRHB: Low</w:t>
      </w:r>
      <w:r w:rsidR="00DF59E3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high beta cell function cluster, LRLB:</w:t>
      </w:r>
      <w:r w:rsidRPr="005B53DD">
        <w:rPr>
          <w:rFonts w:ascii="Times New Roman" w:eastAsiaTheme="minorEastAsia" w:hAnsi="Times New Roman" w:cs="Times New Roman"/>
          <w:lang w:val="en-US"/>
        </w:rPr>
        <w:t xml:space="preserve">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low beta cell function cluster, HRHBP:</w:t>
      </w:r>
      <w:r w:rsidRPr="005B53DD">
        <w:rPr>
          <w:rFonts w:ascii="Times New Roman" w:eastAsiaTheme="minorEastAsia" w:hAnsi="Times New Roman" w:cs="Times New Roman"/>
          <w:lang w:val="en-US"/>
        </w:rPr>
        <w:t xml:space="preserve"> 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High</w:t>
      </w:r>
      <w:r w:rsidR="00DF59E3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high blood pressure cluster, HRBF: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beta cell failure cluster and HRIR: High</w:t>
      </w:r>
      <w:r w:rsidR="00DF59E3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risk insulin resistance cluster. Bonferroni correction was used to adjust for multiple comparison. </w:t>
      </w:r>
      <w:r w:rsidRPr="005B53DD">
        <w:rPr>
          <w:rFonts w:ascii="Times New Roman" w:eastAsiaTheme="minorEastAsia" w:hAnsi="Times New Roman" w:cs="Times New Roman"/>
          <w:vertAlign w:val="superscript"/>
          <w:lang w:val="en-US" w:eastAsia="ja-JP"/>
        </w:rPr>
        <w:t>*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: p-value &lt;0.05, </w:t>
      </w:r>
      <w:r w:rsidRPr="005B53DD">
        <w:rPr>
          <w:rFonts w:ascii="Times New Roman" w:eastAsiaTheme="minorEastAsia" w:hAnsi="Times New Roman" w:cs="Times New Roman"/>
          <w:vertAlign w:val="superscript"/>
          <w:lang w:val="en-US" w:eastAsia="ja-JP"/>
        </w:rPr>
        <w:t>**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: p-value &lt;0.01, </w:t>
      </w:r>
      <w:r w:rsidRPr="005B53DD">
        <w:rPr>
          <w:rFonts w:ascii="Times New Roman" w:eastAsiaTheme="minorEastAsia" w:hAnsi="Times New Roman" w:cs="Times New Roman"/>
          <w:vertAlign w:val="superscript"/>
          <w:lang w:val="en-US" w:eastAsia="ja-JP"/>
        </w:rPr>
        <w:t>***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: p-value &lt;0.001.</w:t>
      </w:r>
    </w:p>
    <w:p w14:paraId="3000B40C" w14:textId="77777777" w:rsidR="00BB4EB3" w:rsidRDefault="00BB4EB3" w:rsidP="005B53DD">
      <w:pPr>
        <w:rPr>
          <w:rFonts w:ascii="Times New Roman" w:eastAsiaTheme="minorEastAsia" w:hAnsi="Times New Roman" w:cs="Times New Roman"/>
          <w:lang w:val="en-US" w:eastAsia="ja-JP"/>
        </w:rPr>
        <w:sectPr w:rsidR="00BB4E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B404D1" w14:textId="77777777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  <w:lastRenderedPageBreak/>
        <w:t xml:space="preserve">Table S5. </w:t>
      </w:r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Accuracy of categories of prediabetes to predict type 2 diabetes in the SDPP study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701"/>
        <w:gridCol w:w="1701"/>
        <w:gridCol w:w="1701"/>
      </w:tblGrid>
      <w:tr w:rsidR="005B53DD" w:rsidRPr="005B53DD" w14:paraId="2143B3EC" w14:textId="77777777" w:rsidTr="00CE3D08">
        <w:trPr>
          <w:trHeight w:val="344"/>
        </w:trPr>
        <w:tc>
          <w:tcPr>
            <w:tcW w:w="2263" w:type="dxa"/>
            <w:vAlign w:val="center"/>
          </w:tcPr>
          <w:p w14:paraId="11299773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03A3E23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ADA</w:t>
            </w:r>
          </w:p>
        </w:tc>
        <w:tc>
          <w:tcPr>
            <w:tcW w:w="5103" w:type="dxa"/>
            <w:gridSpan w:val="3"/>
            <w:vAlign w:val="center"/>
          </w:tcPr>
          <w:p w14:paraId="412AC7E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WHO</w:t>
            </w:r>
          </w:p>
        </w:tc>
      </w:tr>
      <w:tr w:rsidR="005B53DD" w:rsidRPr="005B53DD" w14:paraId="64E084AA" w14:textId="77777777" w:rsidTr="00CE3D08">
        <w:trPr>
          <w:trHeight w:val="344"/>
        </w:trPr>
        <w:tc>
          <w:tcPr>
            <w:tcW w:w="2263" w:type="dxa"/>
            <w:vAlign w:val="center"/>
          </w:tcPr>
          <w:p w14:paraId="3D5A37C1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919CAD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IFG</w:t>
            </w:r>
          </w:p>
        </w:tc>
        <w:tc>
          <w:tcPr>
            <w:tcW w:w="1701" w:type="dxa"/>
            <w:vAlign w:val="center"/>
          </w:tcPr>
          <w:p w14:paraId="7D87913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IGT</w:t>
            </w:r>
          </w:p>
        </w:tc>
        <w:tc>
          <w:tcPr>
            <w:tcW w:w="1701" w:type="dxa"/>
            <w:vAlign w:val="center"/>
          </w:tcPr>
          <w:p w14:paraId="54DBCA0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IFT+IGT</w:t>
            </w:r>
          </w:p>
        </w:tc>
        <w:tc>
          <w:tcPr>
            <w:tcW w:w="1701" w:type="dxa"/>
            <w:vAlign w:val="center"/>
          </w:tcPr>
          <w:p w14:paraId="0EE1FB3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IFG</w:t>
            </w:r>
          </w:p>
        </w:tc>
        <w:tc>
          <w:tcPr>
            <w:tcW w:w="1701" w:type="dxa"/>
            <w:vAlign w:val="center"/>
          </w:tcPr>
          <w:p w14:paraId="0E6EEE7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IGT</w:t>
            </w:r>
          </w:p>
        </w:tc>
        <w:tc>
          <w:tcPr>
            <w:tcW w:w="1701" w:type="dxa"/>
            <w:vAlign w:val="center"/>
          </w:tcPr>
          <w:p w14:paraId="50BFB06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IFT+IGT</w:t>
            </w:r>
          </w:p>
        </w:tc>
      </w:tr>
      <w:tr w:rsidR="005B53DD" w:rsidRPr="005B53DD" w14:paraId="568E5EA5" w14:textId="77777777" w:rsidTr="00CE3D08">
        <w:trPr>
          <w:trHeight w:val="360"/>
        </w:trPr>
        <w:tc>
          <w:tcPr>
            <w:tcW w:w="2263" w:type="dxa"/>
            <w:vAlign w:val="center"/>
          </w:tcPr>
          <w:p w14:paraId="144E4EA5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Sensitivity % (95%CI)</w:t>
            </w:r>
          </w:p>
        </w:tc>
        <w:tc>
          <w:tcPr>
            <w:tcW w:w="1701" w:type="dxa"/>
            <w:vAlign w:val="center"/>
          </w:tcPr>
          <w:p w14:paraId="1B2BBE1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15.3%</w:t>
            </w:r>
          </w:p>
          <w:p w14:paraId="78289AB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(13.4%, 17.4%)</w:t>
            </w:r>
          </w:p>
        </w:tc>
        <w:tc>
          <w:tcPr>
            <w:tcW w:w="1701" w:type="dxa"/>
            <w:vAlign w:val="center"/>
          </w:tcPr>
          <w:p w14:paraId="48C49CA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9.3%</w:t>
            </w:r>
          </w:p>
          <w:p w14:paraId="39BA667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(7.8%, 10.9%)</w:t>
            </w:r>
          </w:p>
        </w:tc>
        <w:tc>
          <w:tcPr>
            <w:tcW w:w="1701" w:type="dxa"/>
            <w:vAlign w:val="center"/>
          </w:tcPr>
          <w:p w14:paraId="3EF8EA9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6.6%</w:t>
            </w:r>
          </w:p>
          <w:p w14:paraId="6E4CB87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(5.4%, 8.1%)</w:t>
            </w:r>
          </w:p>
        </w:tc>
        <w:tc>
          <w:tcPr>
            <w:tcW w:w="1701" w:type="dxa"/>
            <w:vAlign w:val="center"/>
          </w:tcPr>
          <w:p w14:paraId="104E632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5.2%</w:t>
            </w:r>
          </w:p>
          <w:p w14:paraId="2A3DF36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(4.1%, 6.6%)</w:t>
            </w:r>
          </w:p>
        </w:tc>
        <w:tc>
          <w:tcPr>
            <w:tcW w:w="1701" w:type="dxa"/>
            <w:vAlign w:val="center"/>
          </w:tcPr>
          <w:p w14:paraId="25AEBCE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13.1%</w:t>
            </w:r>
          </w:p>
          <w:p w14:paraId="3B91127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(11.4%, 15.1%)</w:t>
            </w:r>
          </w:p>
        </w:tc>
        <w:tc>
          <w:tcPr>
            <w:tcW w:w="1701" w:type="dxa"/>
            <w:vAlign w:val="center"/>
          </w:tcPr>
          <w:p w14:paraId="477EAD2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2.8%</w:t>
            </w:r>
          </w:p>
          <w:p w14:paraId="61C4D0E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(2.0%, 3.8%)</w:t>
            </w:r>
          </w:p>
        </w:tc>
      </w:tr>
      <w:tr w:rsidR="005B53DD" w:rsidRPr="005B53DD" w14:paraId="60DDB9CC" w14:textId="77777777" w:rsidTr="00CE3D08">
        <w:trPr>
          <w:trHeight w:val="271"/>
        </w:trPr>
        <w:tc>
          <w:tcPr>
            <w:tcW w:w="2263" w:type="dxa"/>
            <w:vAlign w:val="center"/>
          </w:tcPr>
          <w:p w14:paraId="2ED1B30A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Specificity % (95%CI)</w:t>
            </w:r>
          </w:p>
        </w:tc>
        <w:tc>
          <w:tcPr>
            <w:tcW w:w="1701" w:type="dxa"/>
            <w:vAlign w:val="center"/>
          </w:tcPr>
          <w:p w14:paraId="3DCE4AF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97.0%</w:t>
            </w:r>
          </w:p>
          <w:p w14:paraId="2E1ED8B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(96.5%, 97.4%)</w:t>
            </w:r>
          </w:p>
        </w:tc>
        <w:tc>
          <w:tcPr>
            <w:tcW w:w="1701" w:type="dxa"/>
            <w:vAlign w:val="center"/>
          </w:tcPr>
          <w:p w14:paraId="706DEA4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98.5%</w:t>
            </w:r>
          </w:p>
          <w:p w14:paraId="43C0BBC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(98.2%, 98.8%)</w:t>
            </w:r>
          </w:p>
        </w:tc>
        <w:tc>
          <w:tcPr>
            <w:tcW w:w="1701" w:type="dxa"/>
            <w:vAlign w:val="center"/>
          </w:tcPr>
          <w:p w14:paraId="53F04DA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99.7%</w:t>
            </w:r>
          </w:p>
          <w:p w14:paraId="44DFFEB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(99.5%, 99.8%)</w:t>
            </w:r>
          </w:p>
        </w:tc>
        <w:tc>
          <w:tcPr>
            <w:tcW w:w="1701" w:type="dxa"/>
            <w:vAlign w:val="center"/>
          </w:tcPr>
          <w:p w14:paraId="603CC19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99.4%</w:t>
            </w:r>
          </w:p>
          <w:p w14:paraId="15DCE19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(99.2%, 99.6%)</w:t>
            </w:r>
          </w:p>
        </w:tc>
        <w:tc>
          <w:tcPr>
            <w:tcW w:w="1701" w:type="dxa"/>
            <w:vAlign w:val="center"/>
          </w:tcPr>
          <w:p w14:paraId="55C7BFE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98.3%</w:t>
            </w:r>
          </w:p>
          <w:p w14:paraId="6B1A4E3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(98.0%, 98.6%)</w:t>
            </w:r>
          </w:p>
        </w:tc>
        <w:tc>
          <w:tcPr>
            <w:tcW w:w="1701" w:type="dxa"/>
            <w:vAlign w:val="center"/>
          </w:tcPr>
          <w:p w14:paraId="6B37AED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99.9%</w:t>
            </w:r>
          </w:p>
          <w:p w14:paraId="523BF2C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(99.8%, 100%)</w:t>
            </w:r>
          </w:p>
        </w:tc>
      </w:tr>
      <w:tr w:rsidR="005B53DD" w:rsidRPr="005B53DD" w14:paraId="6CA02792" w14:textId="77777777" w:rsidTr="00CE3D08">
        <w:trPr>
          <w:trHeight w:val="353"/>
        </w:trPr>
        <w:tc>
          <w:tcPr>
            <w:tcW w:w="2263" w:type="dxa"/>
            <w:vAlign w:val="center"/>
          </w:tcPr>
          <w:p w14:paraId="352DAA77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Area under the curve (95%CI)</w:t>
            </w:r>
          </w:p>
        </w:tc>
        <w:tc>
          <w:tcPr>
            <w:tcW w:w="1701" w:type="dxa"/>
            <w:vAlign w:val="center"/>
          </w:tcPr>
          <w:p w14:paraId="33F16B8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0.56 (0.55 0.57)</w:t>
            </w:r>
          </w:p>
        </w:tc>
        <w:tc>
          <w:tcPr>
            <w:tcW w:w="1701" w:type="dxa"/>
            <w:vAlign w:val="center"/>
          </w:tcPr>
          <w:p w14:paraId="4FB6DAC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0.54 (0.53, 0.55)</w:t>
            </w:r>
          </w:p>
        </w:tc>
        <w:tc>
          <w:tcPr>
            <w:tcW w:w="1701" w:type="dxa"/>
            <w:vAlign w:val="center"/>
          </w:tcPr>
          <w:p w14:paraId="34F4021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0.53 (0.52, 0.54)</w:t>
            </w:r>
          </w:p>
        </w:tc>
        <w:tc>
          <w:tcPr>
            <w:tcW w:w="1701" w:type="dxa"/>
            <w:vAlign w:val="center"/>
          </w:tcPr>
          <w:p w14:paraId="100151F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0.52 (0.52, 0.53)</w:t>
            </w:r>
          </w:p>
        </w:tc>
        <w:tc>
          <w:tcPr>
            <w:tcW w:w="1701" w:type="dxa"/>
            <w:vAlign w:val="center"/>
          </w:tcPr>
          <w:p w14:paraId="1DB19B1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0.56 (0.55, 0.57)</w:t>
            </w:r>
          </w:p>
        </w:tc>
        <w:tc>
          <w:tcPr>
            <w:tcW w:w="1701" w:type="dxa"/>
            <w:vAlign w:val="center"/>
          </w:tcPr>
          <w:p w14:paraId="4197839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0.51 (0.51, 0.52)</w:t>
            </w:r>
          </w:p>
        </w:tc>
      </w:tr>
      <w:tr w:rsidR="005B53DD" w:rsidRPr="005B53DD" w14:paraId="7711719A" w14:textId="77777777" w:rsidTr="00CE3D08">
        <w:trPr>
          <w:trHeight w:val="563"/>
        </w:trPr>
        <w:tc>
          <w:tcPr>
            <w:tcW w:w="2263" w:type="dxa"/>
            <w:vAlign w:val="center"/>
          </w:tcPr>
          <w:p w14:paraId="571B0592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Positive predictive value % (95%CI)</w:t>
            </w:r>
          </w:p>
        </w:tc>
        <w:tc>
          <w:tcPr>
            <w:tcW w:w="1701" w:type="dxa"/>
            <w:vAlign w:val="center"/>
          </w:tcPr>
          <w:p w14:paraId="42B1A3D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51.1%</w:t>
            </w:r>
          </w:p>
          <w:p w14:paraId="33E7DF0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(46.1%, 56.1%)</w:t>
            </w:r>
          </w:p>
        </w:tc>
        <w:tc>
          <w:tcPr>
            <w:tcW w:w="1701" w:type="dxa"/>
            <w:vAlign w:val="center"/>
          </w:tcPr>
          <w:p w14:paraId="6163DA8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56.9%</w:t>
            </w:r>
          </w:p>
          <w:p w14:paraId="4EC3FFE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(50.0%, 63.6%)</w:t>
            </w:r>
          </w:p>
        </w:tc>
        <w:tc>
          <w:tcPr>
            <w:tcW w:w="1701" w:type="dxa"/>
            <w:vAlign w:val="center"/>
          </w:tcPr>
          <w:p w14:paraId="503C3E7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82.4%</w:t>
            </w:r>
          </w:p>
          <w:p w14:paraId="3235525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(73.9%, 89.1%)</w:t>
            </w:r>
          </w:p>
        </w:tc>
        <w:tc>
          <w:tcPr>
            <w:tcW w:w="1701" w:type="dxa"/>
            <w:vAlign w:val="center"/>
          </w:tcPr>
          <w:p w14:paraId="42A5B2A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65.4%</w:t>
            </w:r>
          </w:p>
          <w:p w14:paraId="69C33D4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(55.6%, 74.4%)</w:t>
            </w:r>
          </w:p>
        </w:tc>
        <w:tc>
          <w:tcPr>
            <w:tcW w:w="1701" w:type="dxa"/>
            <w:vAlign w:val="center"/>
          </w:tcPr>
          <w:p w14:paraId="0211D43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61.8%</w:t>
            </w:r>
          </w:p>
          <w:p w14:paraId="0107D1A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(55.8%, 67.4%)</w:t>
            </w:r>
          </w:p>
        </w:tc>
        <w:tc>
          <w:tcPr>
            <w:tcW w:w="1701" w:type="dxa"/>
            <w:vAlign w:val="center"/>
          </w:tcPr>
          <w:p w14:paraId="24037F1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90.2%</w:t>
            </w:r>
          </w:p>
          <w:p w14:paraId="352F6A6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(76.9%, 97.3%)</w:t>
            </w:r>
          </w:p>
        </w:tc>
      </w:tr>
      <w:tr w:rsidR="005B53DD" w:rsidRPr="005B53DD" w14:paraId="5C2AC0E4" w14:textId="77777777" w:rsidTr="00CE3D08">
        <w:trPr>
          <w:trHeight w:val="556"/>
        </w:trPr>
        <w:tc>
          <w:tcPr>
            <w:tcW w:w="2263" w:type="dxa"/>
            <w:vAlign w:val="center"/>
          </w:tcPr>
          <w:p w14:paraId="73401F62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Negative predictive value % (95%CI)</w:t>
            </w:r>
          </w:p>
        </w:tc>
        <w:tc>
          <w:tcPr>
            <w:tcW w:w="1701" w:type="dxa"/>
            <w:vAlign w:val="center"/>
          </w:tcPr>
          <w:p w14:paraId="7E00F38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84.7%</w:t>
            </w:r>
          </w:p>
          <w:p w14:paraId="058C594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(83.8%, 85.5%)</w:t>
            </w:r>
          </w:p>
        </w:tc>
        <w:tc>
          <w:tcPr>
            <w:tcW w:w="1701" w:type="dxa"/>
            <w:vAlign w:val="center"/>
          </w:tcPr>
          <w:p w14:paraId="744A497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84.0%</w:t>
            </w:r>
          </w:p>
          <w:p w14:paraId="60F1556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(83.1%, 84.8%)</w:t>
            </w:r>
          </w:p>
        </w:tc>
        <w:tc>
          <w:tcPr>
            <w:tcW w:w="1701" w:type="dxa"/>
            <w:vAlign w:val="center"/>
          </w:tcPr>
          <w:p w14:paraId="25668EA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83.8%</w:t>
            </w:r>
          </w:p>
          <w:p w14:paraId="6A7BCA5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(82.9%, 84.6%)</w:t>
            </w:r>
          </w:p>
        </w:tc>
        <w:tc>
          <w:tcPr>
            <w:tcW w:w="1701" w:type="dxa"/>
            <w:vAlign w:val="center"/>
          </w:tcPr>
          <w:p w14:paraId="2A0EBA2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83.5%</w:t>
            </w:r>
          </w:p>
          <w:p w14:paraId="12096E9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(82.7%, 84.3%)</w:t>
            </w:r>
          </w:p>
        </w:tc>
        <w:tc>
          <w:tcPr>
            <w:tcW w:w="1701" w:type="dxa"/>
            <w:vAlign w:val="center"/>
          </w:tcPr>
          <w:p w14:paraId="0EE4AF0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84.5%</w:t>
            </w:r>
          </w:p>
          <w:p w14:paraId="761BC2B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(83.7%, 85.3%)</w:t>
            </w:r>
          </w:p>
        </w:tc>
        <w:tc>
          <w:tcPr>
            <w:tcW w:w="1701" w:type="dxa"/>
            <w:vAlign w:val="center"/>
          </w:tcPr>
          <w:p w14:paraId="220A97A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83.2%</w:t>
            </w:r>
          </w:p>
          <w:p w14:paraId="0B6927D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(82.4%, 84.1%)</w:t>
            </w:r>
          </w:p>
        </w:tc>
      </w:tr>
    </w:tbl>
    <w:p w14:paraId="4E92AF5F" w14:textId="77777777" w:rsidR="00673A3F" w:rsidRDefault="005B53DD" w:rsidP="005B53DD">
      <w:pPr>
        <w:spacing w:before="120"/>
        <w:rPr>
          <w:rFonts w:ascii="Times New Roman" w:eastAsiaTheme="minorEastAsia" w:hAnsi="Times New Roman" w:cs="Times New Roman"/>
          <w:lang w:val="en-US" w:eastAsia="ja-JP"/>
        </w:rPr>
        <w:sectPr w:rsidR="00673A3F" w:rsidSect="00BB4E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B53DD">
        <w:rPr>
          <w:rFonts w:ascii="Times New Roman" w:eastAsiaTheme="minorEastAsia" w:hAnsi="Times New Roman" w:cs="Times New Roman"/>
          <w:lang w:val="en-US" w:eastAsia="ja-JP"/>
        </w:rPr>
        <w:t>Measures of predictive accuracy of the different prediabetes states estimated during the baseline oral glucose tolerance test in the SDPP study. IFG: Impaired fasting glucose, IGT: Impaired glucose tolerance.</w:t>
      </w:r>
    </w:p>
    <w:p w14:paraId="26E97A57" w14:textId="77777777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  <w:lastRenderedPageBreak/>
        <w:t xml:space="preserve">Table S6. </w:t>
      </w:r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Accuracy of individual clusters to predict type 2 diabetes in the SDPP study</w:t>
      </w:r>
    </w:p>
    <w:tbl>
      <w:tblPr>
        <w:tblStyle w:val="Tabellrutnt"/>
        <w:tblW w:w="12177" w:type="dxa"/>
        <w:tblLook w:val="04A0" w:firstRow="1" w:lastRow="0" w:firstColumn="1" w:lastColumn="0" w:noHBand="0" w:noVBand="1"/>
      </w:tblPr>
      <w:tblGrid>
        <w:gridCol w:w="2311"/>
        <w:gridCol w:w="1664"/>
        <w:gridCol w:w="1640"/>
        <w:gridCol w:w="1640"/>
        <w:gridCol w:w="1642"/>
        <w:gridCol w:w="1640"/>
        <w:gridCol w:w="1640"/>
      </w:tblGrid>
      <w:tr w:rsidR="005B53DD" w:rsidRPr="005B53DD" w14:paraId="2DD69DC2" w14:textId="77777777" w:rsidTr="00CE3D08">
        <w:trPr>
          <w:trHeight w:val="229"/>
        </w:trPr>
        <w:tc>
          <w:tcPr>
            <w:tcW w:w="2311" w:type="dxa"/>
            <w:vAlign w:val="center"/>
          </w:tcPr>
          <w:p w14:paraId="6607318C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664" w:type="dxa"/>
            <w:vAlign w:val="center"/>
          </w:tcPr>
          <w:p w14:paraId="3D04AED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VLR</w:t>
            </w:r>
          </w:p>
        </w:tc>
        <w:tc>
          <w:tcPr>
            <w:tcW w:w="1640" w:type="dxa"/>
            <w:vAlign w:val="center"/>
          </w:tcPr>
          <w:p w14:paraId="77B32B1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LRHB</w:t>
            </w:r>
          </w:p>
        </w:tc>
        <w:tc>
          <w:tcPr>
            <w:tcW w:w="1640" w:type="dxa"/>
            <w:vAlign w:val="center"/>
          </w:tcPr>
          <w:p w14:paraId="2F880C4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LRLB</w:t>
            </w:r>
          </w:p>
        </w:tc>
        <w:tc>
          <w:tcPr>
            <w:tcW w:w="1642" w:type="dxa"/>
            <w:vAlign w:val="center"/>
          </w:tcPr>
          <w:p w14:paraId="114C0F9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HRHBP</w:t>
            </w:r>
          </w:p>
        </w:tc>
        <w:tc>
          <w:tcPr>
            <w:tcW w:w="1640" w:type="dxa"/>
            <w:vAlign w:val="center"/>
          </w:tcPr>
          <w:p w14:paraId="2DFE906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HRBF</w:t>
            </w:r>
          </w:p>
        </w:tc>
        <w:tc>
          <w:tcPr>
            <w:tcW w:w="1640" w:type="dxa"/>
            <w:vAlign w:val="center"/>
          </w:tcPr>
          <w:p w14:paraId="19F6D85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HRIR</w:t>
            </w:r>
          </w:p>
        </w:tc>
      </w:tr>
      <w:tr w:rsidR="005B53DD" w:rsidRPr="005B53DD" w14:paraId="0520DA87" w14:textId="77777777" w:rsidTr="00CE3D08">
        <w:trPr>
          <w:trHeight w:val="569"/>
        </w:trPr>
        <w:tc>
          <w:tcPr>
            <w:tcW w:w="2311" w:type="dxa"/>
            <w:vAlign w:val="center"/>
          </w:tcPr>
          <w:p w14:paraId="1D6EE3A3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Sensitivity % (95%CI)</w:t>
            </w:r>
          </w:p>
        </w:tc>
        <w:tc>
          <w:tcPr>
            <w:tcW w:w="1664" w:type="dxa"/>
            <w:vAlign w:val="center"/>
          </w:tcPr>
          <w:p w14:paraId="421F949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6.7%</w:t>
            </w:r>
          </w:p>
          <w:p w14:paraId="5095584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(5.4%, 8.2%)</w:t>
            </w:r>
          </w:p>
        </w:tc>
        <w:tc>
          <w:tcPr>
            <w:tcW w:w="1640" w:type="dxa"/>
            <w:vAlign w:val="center"/>
          </w:tcPr>
          <w:p w14:paraId="0C685E5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11.5%</w:t>
            </w:r>
          </w:p>
          <w:p w14:paraId="1AF7A1B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(9.77%, 13.4%)</w:t>
            </w:r>
          </w:p>
        </w:tc>
        <w:tc>
          <w:tcPr>
            <w:tcW w:w="1640" w:type="dxa"/>
            <w:vAlign w:val="center"/>
          </w:tcPr>
          <w:p w14:paraId="2904DF1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11.7%</w:t>
            </w:r>
          </w:p>
          <w:p w14:paraId="3AEEA8B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(10.0%, 13.7%)</w:t>
            </w:r>
          </w:p>
        </w:tc>
        <w:tc>
          <w:tcPr>
            <w:tcW w:w="1642" w:type="dxa"/>
            <w:vAlign w:val="center"/>
          </w:tcPr>
          <w:p w14:paraId="70CAE23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15.6%</w:t>
            </w:r>
          </w:p>
          <w:p w14:paraId="32548C1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(13.6%, 17.7%)</w:t>
            </w:r>
          </w:p>
        </w:tc>
        <w:tc>
          <w:tcPr>
            <w:tcW w:w="1640" w:type="dxa"/>
            <w:vAlign w:val="center"/>
          </w:tcPr>
          <w:p w14:paraId="708EB51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34.1%</w:t>
            </w:r>
          </w:p>
          <w:p w14:paraId="2DC69E7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(31.4%, 36.8%)</w:t>
            </w:r>
          </w:p>
        </w:tc>
        <w:tc>
          <w:tcPr>
            <w:tcW w:w="1640" w:type="dxa"/>
            <w:vAlign w:val="center"/>
          </w:tcPr>
          <w:p w14:paraId="37BAAE3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20.4%</w:t>
            </w:r>
          </w:p>
          <w:p w14:paraId="0FBA9CD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(18.2%, 22.8%)</w:t>
            </w:r>
          </w:p>
        </w:tc>
      </w:tr>
      <w:tr w:rsidR="005B53DD" w:rsidRPr="005B53DD" w14:paraId="50A97532" w14:textId="77777777" w:rsidTr="00CE3D08">
        <w:trPr>
          <w:trHeight w:val="575"/>
        </w:trPr>
        <w:tc>
          <w:tcPr>
            <w:tcW w:w="2311" w:type="dxa"/>
            <w:vAlign w:val="center"/>
          </w:tcPr>
          <w:p w14:paraId="586C1368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Specificity % (95%CI)</w:t>
            </w:r>
          </w:p>
        </w:tc>
        <w:tc>
          <w:tcPr>
            <w:tcW w:w="1664" w:type="dxa"/>
            <w:vAlign w:val="center"/>
          </w:tcPr>
          <w:p w14:paraId="4531569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70.3%</w:t>
            </w:r>
          </w:p>
          <w:p w14:paraId="10D4E37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(69.1%, 71.4%)</w:t>
            </w:r>
          </w:p>
        </w:tc>
        <w:tc>
          <w:tcPr>
            <w:tcW w:w="1640" w:type="dxa"/>
            <w:vAlign w:val="center"/>
          </w:tcPr>
          <w:p w14:paraId="5225F2B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74.7%</w:t>
            </w:r>
          </w:p>
          <w:p w14:paraId="14DD24B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(73.6%, 75.8%)</w:t>
            </w:r>
          </w:p>
        </w:tc>
        <w:tc>
          <w:tcPr>
            <w:tcW w:w="1640" w:type="dxa"/>
            <w:vAlign w:val="center"/>
          </w:tcPr>
          <w:p w14:paraId="02D5FF8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82.1%</w:t>
            </w:r>
          </w:p>
          <w:p w14:paraId="66B7EA3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(81.1%, 83.0%)</w:t>
            </w:r>
          </w:p>
        </w:tc>
        <w:tc>
          <w:tcPr>
            <w:tcW w:w="1642" w:type="dxa"/>
            <w:vAlign w:val="center"/>
          </w:tcPr>
          <w:p w14:paraId="38A0ADC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91.2%</w:t>
            </w:r>
          </w:p>
          <w:p w14:paraId="0737707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(90.4%, 91.9%)</w:t>
            </w:r>
          </w:p>
        </w:tc>
        <w:tc>
          <w:tcPr>
            <w:tcW w:w="1640" w:type="dxa"/>
            <w:vAlign w:val="center"/>
          </w:tcPr>
          <w:p w14:paraId="74E1DEB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86.7%</w:t>
            </w:r>
          </w:p>
          <w:p w14:paraId="182A04C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(85.8%, 87.5%)</w:t>
            </w:r>
          </w:p>
        </w:tc>
        <w:tc>
          <w:tcPr>
            <w:tcW w:w="1640" w:type="dxa"/>
            <w:vAlign w:val="center"/>
          </w:tcPr>
          <w:p w14:paraId="1F04ED6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95.1%</w:t>
            </w:r>
          </w:p>
          <w:p w14:paraId="1B135B7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(94.5%, 95.6%)</w:t>
            </w:r>
          </w:p>
        </w:tc>
      </w:tr>
      <w:tr w:rsidR="005B53DD" w:rsidRPr="005B53DD" w14:paraId="007FFAD8" w14:textId="77777777" w:rsidTr="00CE3D08">
        <w:trPr>
          <w:trHeight w:val="586"/>
        </w:trPr>
        <w:tc>
          <w:tcPr>
            <w:tcW w:w="2311" w:type="dxa"/>
            <w:vAlign w:val="center"/>
          </w:tcPr>
          <w:p w14:paraId="1001CE24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Area under the curve (95%CI)</w:t>
            </w:r>
          </w:p>
        </w:tc>
        <w:tc>
          <w:tcPr>
            <w:tcW w:w="1664" w:type="dxa"/>
            <w:vAlign w:val="center"/>
          </w:tcPr>
          <w:p w14:paraId="304DFFC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0.39</w:t>
            </w:r>
          </w:p>
          <w:p w14:paraId="3B5AB18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(0.38, 0.40)</w:t>
            </w:r>
          </w:p>
        </w:tc>
        <w:tc>
          <w:tcPr>
            <w:tcW w:w="1640" w:type="dxa"/>
            <w:vAlign w:val="center"/>
          </w:tcPr>
          <w:p w14:paraId="2158D33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0.43</w:t>
            </w:r>
          </w:p>
          <w:p w14:paraId="67ABE30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(0.42, 0.44)</w:t>
            </w:r>
          </w:p>
        </w:tc>
        <w:tc>
          <w:tcPr>
            <w:tcW w:w="1640" w:type="dxa"/>
            <w:vAlign w:val="center"/>
          </w:tcPr>
          <w:p w14:paraId="4830B17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0.47</w:t>
            </w:r>
          </w:p>
          <w:p w14:paraId="0F1632F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(0.46, 0.48)</w:t>
            </w:r>
          </w:p>
        </w:tc>
        <w:tc>
          <w:tcPr>
            <w:tcW w:w="1642" w:type="dxa"/>
            <w:vAlign w:val="center"/>
          </w:tcPr>
          <w:p w14:paraId="61AD57A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0.53</w:t>
            </w:r>
          </w:p>
          <w:p w14:paraId="5207ED5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(0.52, 0.54)</w:t>
            </w:r>
          </w:p>
        </w:tc>
        <w:tc>
          <w:tcPr>
            <w:tcW w:w="1640" w:type="dxa"/>
            <w:vAlign w:val="center"/>
          </w:tcPr>
          <w:p w14:paraId="152A113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0.60</w:t>
            </w:r>
          </w:p>
          <w:p w14:paraId="09E3D55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(0.59, 0.62)</w:t>
            </w:r>
          </w:p>
        </w:tc>
        <w:tc>
          <w:tcPr>
            <w:tcW w:w="1640" w:type="dxa"/>
            <w:vAlign w:val="center"/>
          </w:tcPr>
          <w:p w14:paraId="047CE47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0.58</w:t>
            </w:r>
          </w:p>
          <w:p w14:paraId="465686D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(0.57, 0.59)</w:t>
            </w:r>
          </w:p>
        </w:tc>
      </w:tr>
      <w:tr w:rsidR="005B53DD" w:rsidRPr="005B53DD" w14:paraId="3CD827A6" w14:textId="77777777" w:rsidTr="00CE3D08">
        <w:trPr>
          <w:trHeight w:val="579"/>
        </w:trPr>
        <w:tc>
          <w:tcPr>
            <w:tcW w:w="2311" w:type="dxa"/>
            <w:vAlign w:val="center"/>
          </w:tcPr>
          <w:p w14:paraId="48C6D2F0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Positive predictive value % (95%CI)</w:t>
            </w:r>
          </w:p>
        </w:tc>
        <w:tc>
          <w:tcPr>
            <w:tcW w:w="1664" w:type="dxa"/>
            <w:vAlign w:val="center"/>
          </w:tcPr>
          <w:p w14:paraId="0E9709F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4.4%</w:t>
            </w:r>
          </w:p>
          <w:p w14:paraId="5365562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(3.5%, 5.4%)</w:t>
            </w:r>
          </w:p>
        </w:tc>
        <w:tc>
          <w:tcPr>
            <w:tcW w:w="1640" w:type="dxa"/>
            <w:vAlign w:val="center"/>
          </w:tcPr>
          <w:p w14:paraId="71A76D8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8.4%</w:t>
            </w:r>
          </w:p>
          <w:p w14:paraId="3F2115C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(7.12%, 9.83%)</w:t>
            </w:r>
          </w:p>
        </w:tc>
        <w:tc>
          <w:tcPr>
            <w:tcW w:w="1640" w:type="dxa"/>
            <w:vAlign w:val="center"/>
          </w:tcPr>
          <w:p w14:paraId="734D4F6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11.7%</w:t>
            </w:r>
          </w:p>
          <w:p w14:paraId="77EB1F2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(9.94%, 13.6%)</w:t>
            </w:r>
          </w:p>
        </w:tc>
        <w:tc>
          <w:tcPr>
            <w:tcW w:w="1642" w:type="dxa"/>
            <w:vAlign w:val="center"/>
          </w:tcPr>
          <w:p w14:paraId="12169F4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26.2%</w:t>
            </w:r>
          </w:p>
          <w:p w14:paraId="08E9B36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(23.2%, 29.6%)</w:t>
            </w:r>
          </w:p>
        </w:tc>
        <w:tc>
          <w:tcPr>
            <w:tcW w:w="1640" w:type="dxa"/>
            <w:vAlign w:val="center"/>
          </w:tcPr>
          <w:p w14:paraId="0895126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34.0%</w:t>
            </w:r>
          </w:p>
          <w:p w14:paraId="59EF9690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(31.4%, 36.8%)</w:t>
            </w:r>
          </w:p>
        </w:tc>
        <w:tc>
          <w:tcPr>
            <w:tcW w:w="1640" w:type="dxa"/>
            <w:vAlign w:val="center"/>
          </w:tcPr>
          <w:p w14:paraId="5770056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45.7%</w:t>
            </w:r>
          </w:p>
          <w:p w14:paraId="7F8C1A4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(41.5%, 50.0%)</w:t>
            </w:r>
          </w:p>
        </w:tc>
      </w:tr>
      <w:tr w:rsidR="005B53DD" w:rsidRPr="005B53DD" w14:paraId="2C1637FC" w14:textId="77777777" w:rsidTr="00CE3D08">
        <w:trPr>
          <w:trHeight w:val="574"/>
        </w:trPr>
        <w:tc>
          <w:tcPr>
            <w:tcW w:w="2311" w:type="dxa"/>
            <w:vAlign w:val="center"/>
          </w:tcPr>
          <w:p w14:paraId="4B75E4D8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Negative predictive value % (95%CI)</w:t>
            </w:r>
          </w:p>
        </w:tc>
        <w:tc>
          <w:tcPr>
            <w:tcW w:w="1664" w:type="dxa"/>
            <w:vAlign w:val="center"/>
          </w:tcPr>
          <w:p w14:paraId="04D90EA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78.9%</w:t>
            </w:r>
          </w:p>
          <w:p w14:paraId="1613205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(77.8%, 80.0%)</w:t>
            </w:r>
          </w:p>
        </w:tc>
        <w:tc>
          <w:tcPr>
            <w:tcW w:w="1640" w:type="dxa"/>
            <w:vAlign w:val="center"/>
          </w:tcPr>
          <w:p w14:paraId="76CD5C8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80.7%</w:t>
            </w:r>
          </w:p>
          <w:p w14:paraId="3F62E76E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(79.6%, 81.7%)</w:t>
            </w:r>
          </w:p>
        </w:tc>
        <w:tc>
          <w:tcPr>
            <w:tcW w:w="1640" w:type="dxa"/>
            <w:vAlign w:val="center"/>
          </w:tcPr>
          <w:p w14:paraId="505538B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82.2%</w:t>
            </w:r>
          </w:p>
          <w:p w14:paraId="706D581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(81.2%, 83.1%)</w:t>
            </w:r>
          </w:p>
        </w:tc>
        <w:tc>
          <w:tcPr>
            <w:tcW w:w="1642" w:type="dxa"/>
            <w:vAlign w:val="center"/>
          </w:tcPr>
          <w:p w14:paraId="2DDA1AA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84.3%</w:t>
            </w:r>
          </w:p>
          <w:p w14:paraId="233CD1C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(83.3%, 85.1%)</w:t>
            </w:r>
          </w:p>
        </w:tc>
        <w:tc>
          <w:tcPr>
            <w:tcW w:w="1640" w:type="dxa"/>
            <w:vAlign w:val="center"/>
          </w:tcPr>
          <w:p w14:paraId="6F48B51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86.7%</w:t>
            </w:r>
          </w:p>
          <w:p w14:paraId="5357AEC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(85.8%, 87.5%)</w:t>
            </w:r>
          </w:p>
        </w:tc>
        <w:tc>
          <w:tcPr>
            <w:tcW w:w="1640" w:type="dxa"/>
            <w:vAlign w:val="center"/>
          </w:tcPr>
          <w:p w14:paraId="65D92BD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85.5%</w:t>
            </w:r>
          </w:p>
          <w:p w14:paraId="577484C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(84.7%, 86.4%)</w:t>
            </w:r>
          </w:p>
        </w:tc>
      </w:tr>
    </w:tbl>
    <w:p w14:paraId="6B6E7DC9" w14:textId="25CA9065" w:rsidR="005B53DD" w:rsidRDefault="005B53DD" w:rsidP="005B53DD">
      <w:pPr>
        <w:spacing w:before="120"/>
        <w:rPr>
          <w:rFonts w:ascii="Times New Roman" w:eastAsiaTheme="minorEastAsia" w:hAnsi="Times New Roman" w:cs="Times New Roman"/>
          <w:lang w:val="en-US" w:eastAsia="ja-JP"/>
        </w:rPr>
      </w:pP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Measures of predictive accuracy of the baseline cluster categories in the SDPP study. VLR: Very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cluster, LRHB: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high beta cell function cluster, LRLB:</w:t>
      </w:r>
      <w:r w:rsidRPr="005B53DD">
        <w:rPr>
          <w:rFonts w:ascii="Times New Roman" w:eastAsiaTheme="minorEastAsia" w:hAnsi="Times New Roman" w:cs="Times New Roman"/>
          <w:lang w:val="en-US"/>
        </w:rPr>
        <w:t xml:space="preserve">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low beta cell function cluster, HRHBP:</w:t>
      </w:r>
      <w:r w:rsidRPr="005B53DD">
        <w:rPr>
          <w:rFonts w:ascii="Times New Roman" w:eastAsiaTheme="minorEastAsia" w:hAnsi="Times New Roman" w:cs="Times New Roman"/>
          <w:lang w:val="en-US"/>
        </w:rPr>
        <w:t xml:space="preserve"> 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high blood pressure cluster, HRBF: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beta cell failure cluster and HRIR: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risk insulin resistance cluster. </w:t>
      </w:r>
    </w:p>
    <w:p w14:paraId="71585D1F" w14:textId="77777777" w:rsidR="00673A3F" w:rsidRPr="005B53DD" w:rsidRDefault="00673A3F" w:rsidP="005B53DD">
      <w:pPr>
        <w:spacing w:before="120"/>
        <w:rPr>
          <w:rFonts w:ascii="Times New Roman" w:eastAsiaTheme="minorEastAsia" w:hAnsi="Times New Roman" w:cs="Times New Roman"/>
          <w:lang w:val="en-US" w:eastAsia="ja-JP"/>
        </w:rPr>
      </w:pPr>
    </w:p>
    <w:p w14:paraId="08DC6D8D" w14:textId="7CB0A870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  <w:t xml:space="preserve">Table S7. </w:t>
      </w:r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Accuracy of prediabetes and high</w:t>
      </w:r>
      <w:r w:rsidR="007A28E5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-</w:t>
      </w:r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risk clusters to predict type 2 diabetes in the SDPP study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268"/>
        <w:gridCol w:w="2409"/>
      </w:tblGrid>
      <w:tr w:rsidR="005B53DD" w:rsidRPr="005B53DD" w14:paraId="6DB9C5F3" w14:textId="77777777" w:rsidTr="00CE3D08">
        <w:trPr>
          <w:trHeight w:val="174"/>
        </w:trPr>
        <w:tc>
          <w:tcPr>
            <w:tcW w:w="3681" w:type="dxa"/>
            <w:vAlign w:val="center"/>
          </w:tcPr>
          <w:p w14:paraId="0B63727F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410" w:type="dxa"/>
            <w:vAlign w:val="center"/>
          </w:tcPr>
          <w:p w14:paraId="012C356D" w14:textId="4CDE92DF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High</w:t>
            </w:r>
            <w:r w:rsidR="007A28E5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-</w:t>
            </w: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risk clusters</w:t>
            </w:r>
          </w:p>
        </w:tc>
        <w:tc>
          <w:tcPr>
            <w:tcW w:w="2268" w:type="dxa"/>
            <w:vAlign w:val="center"/>
          </w:tcPr>
          <w:p w14:paraId="180A4E6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Prediabetes ADA</w:t>
            </w:r>
          </w:p>
        </w:tc>
        <w:tc>
          <w:tcPr>
            <w:tcW w:w="2409" w:type="dxa"/>
          </w:tcPr>
          <w:p w14:paraId="5E6F451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Prediabetes WHO</w:t>
            </w:r>
          </w:p>
        </w:tc>
      </w:tr>
      <w:tr w:rsidR="005B53DD" w:rsidRPr="005B53DD" w14:paraId="08EB75BD" w14:textId="77777777" w:rsidTr="00CE3D08">
        <w:trPr>
          <w:trHeight w:val="264"/>
        </w:trPr>
        <w:tc>
          <w:tcPr>
            <w:tcW w:w="3681" w:type="dxa"/>
            <w:vAlign w:val="center"/>
          </w:tcPr>
          <w:p w14:paraId="0AEBEDEC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Sensitivity %(95%CI)</w:t>
            </w:r>
          </w:p>
        </w:tc>
        <w:tc>
          <w:tcPr>
            <w:tcW w:w="2410" w:type="dxa"/>
            <w:vAlign w:val="center"/>
          </w:tcPr>
          <w:p w14:paraId="181326E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70.1% (67.4%, 72.6%)</w:t>
            </w:r>
          </w:p>
        </w:tc>
        <w:tc>
          <w:tcPr>
            <w:tcW w:w="2268" w:type="dxa"/>
            <w:vAlign w:val="center"/>
          </w:tcPr>
          <w:p w14:paraId="31C8B0F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29.9% (27.4%, 32.6%)</w:t>
            </w:r>
          </w:p>
        </w:tc>
        <w:tc>
          <w:tcPr>
            <w:tcW w:w="2409" w:type="dxa"/>
          </w:tcPr>
          <w:p w14:paraId="7B3A5C14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19.5% (17.3%, 21.8%)</w:t>
            </w:r>
          </w:p>
        </w:tc>
      </w:tr>
      <w:tr w:rsidR="005B53DD" w:rsidRPr="005B53DD" w14:paraId="44846148" w14:textId="77777777" w:rsidTr="00CE3D08">
        <w:trPr>
          <w:trHeight w:val="282"/>
        </w:trPr>
        <w:tc>
          <w:tcPr>
            <w:tcW w:w="3681" w:type="dxa"/>
            <w:vAlign w:val="center"/>
          </w:tcPr>
          <w:p w14:paraId="4C107A8C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Specificity %(95%CI)</w:t>
            </w:r>
          </w:p>
        </w:tc>
        <w:tc>
          <w:tcPr>
            <w:tcW w:w="2410" w:type="dxa"/>
            <w:vAlign w:val="center"/>
          </w:tcPr>
          <w:p w14:paraId="2F3A311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72.9%, (71.8%, 74.0%)</w:t>
            </w:r>
          </w:p>
        </w:tc>
        <w:tc>
          <w:tcPr>
            <w:tcW w:w="2268" w:type="dxa"/>
            <w:vAlign w:val="center"/>
          </w:tcPr>
          <w:p w14:paraId="667B00B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95.3% (94.8%, 95.9%)</w:t>
            </w:r>
          </w:p>
        </w:tc>
        <w:tc>
          <w:tcPr>
            <w:tcW w:w="2409" w:type="dxa"/>
          </w:tcPr>
          <w:p w14:paraId="17D7953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97.8% (97.4%, 98.2%)</w:t>
            </w:r>
          </w:p>
        </w:tc>
      </w:tr>
      <w:tr w:rsidR="005B53DD" w:rsidRPr="005B53DD" w14:paraId="0DEFE8E6" w14:textId="77777777" w:rsidTr="00CE3D08">
        <w:trPr>
          <w:trHeight w:val="254"/>
        </w:trPr>
        <w:tc>
          <w:tcPr>
            <w:tcW w:w="3681" w:type="dxa"/>
            <w:vAlign w:val="center"/>
          </w:tcPr>
          <w:p w14:paraId="2594DC20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Area under the curve (95%CI)</w:t>
            </w:r>
          </w:p>
        </w:tc>
        <w:tc>
          <w:tcPr>
            <w:tcW w:w="2410" w:type="dxa"/>
            <w:vAlign w:val="center"/>
          </w:tcPr>
          <w:p w14:paraId="5ACD90B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0.71 (0.70, 0.73)</w:t>
            </w:r>
          </w:p>
        </w:tc>
        <w:tc>
          <w:tcPr>
            <w:tcW w:w="2268" w:type="dxa"/>
            <w:vAlign w:val="center"/>
          </w:tcPr>
          <w:p w14:paraId="1B359533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0.63 (0.61, 0.64)</w:t>
            </w:r>
          </w:p>
        </w:tc>
        <w:tc>
          <w:tcPr>
            <w:tcW w:w="2409" w:type="dxa"/>
          </w:tcPr>
          <w:p w14:paraId="71A97B6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0.59 (0.58, 0.60)</w:t>
            </w:r>
          </w:p>
        </w:tc>
      </w:tr>
      <w:tr w:rsidR="005B53DD" w:rsidRPr="005B53DD" w14:paraId="110F5D07" w14:textId="77777777" w:rsidTr="00CE3D08">
        <w:trPr>
          <w:trHeight w:val="254"/>
        </w:trPr>
        <w:tc>
          <w:tcPr>
            <w:tcW w:w="3681" w:type="dxa"/>
            <w:vAlign w:val="center"/>
          </w:tcPr>
          <w:p w14:paraId="47C6884F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C-index (95%CI)</w:t>
            </w:r>
          </w:p>
        </w:tc>
        <w:tc>
          <w:tcPr>
            <w:tcW w:w="2410" w:type="dxa"/>
            <w:vAlign w:val="center"/>
          </w:tcPr>
          <w:p w14:paraId="266826D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0.70 (0.68, 0.71)</w:t>
            </w:r>
          </w:p>
        </w:tc>
        <w:tc>
          <w:tcPr>
            <w:tcW w:w="2268" w:type="dxa"/>
            <w:vAlign w:val="center"/>
          </w:tcPr>
          <w:p w14:paraId="04A73F1B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0.63 (0.61, 0.64)</w:t>
            </w:r>
          </w:p>
        </w:tc>
        <w:tc>
          <w:tcPr>
            <w:tcW w:w="2409" w:type="dxa"/>
          </w:tcPr>
          <w:p w14:paraId="1F2CB45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0.59 (0.58, 0.60)</w:t>
            </w:r>
          </w:p>
        </w:tc>
      </w:tr>
      <w:tr w:rsidR="005B53DD" w:rsidRPr="005B53DD" w14:paraId="55801699" w14:textId="77777777" w:rsidTr="00CE3D08">
        <w:trPr>
          <w:trHeight w:val="239"/>
        </w:trPr>
        <w:tc>
          <w:tcPr>
            <w:tcW w:w="3681" w:type="dxa"/>
            <w:vAlign w:val="center"/>
          </w:tcPr>
          <w:p w14:paraId="15708CD8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Positive predictive value %(95%CI)</w:t>
            </w:r>
          </w:p>
        </w:tc>
        <w:tc>
          <w:tcPr>
            <w:tcW w:w="2410" w:type="dxa"/>
            <w:vAlign w:val="center"/>
          </w:tcPr>
          <w:p w14:paraId="19D7EFE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34.3% (32.5%, 36.2%)</w:t>
            </w:r>
          </w:p>
        </w:tc>
        <w:tc>
          <w:tcPr>
            <w:tcW w:w="2268" w:type="dxa"/>
            <w:vAlign w:val="center"/>
          </w:tcPr>
          <w:p w14:paraId="0C1AEB3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56.5% (52.6%, 60.3%)</w:t>
            </w:r>
          </w:p>
        </w:tc>
        <w:tc>
          <w:tcPr>
            <w:tcW w:w="2409" w:type="dxa"/>
          </w:tcPr>
          <w:p w14:paraId="7FBECB0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64.4% (59.3%, 69.3%)</w:t>
            </w:r>
          </w:p>
        </w:tc>
      </w:tr>
      <w:tr w:rsidR="005B53DD" w:rsidRPr="005B53DD" w14:paraId="6D6E9F19" w14:textId="77777777" w:rsidTr="00CE3D08">
        <w:trPr>
          <w:trHeight w:val="254"/>
        </w:trPr>
        <w:tc>
          <w:tcPr>
            <w:tcW w:w="3681" w:type="dxa"/>
            <w:vAlign w:val="center"/>
          </w:tcPr>
          <w:p w14:paraId="2DEFCF03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Negative predictive value %(95%CI)</w:t>
            </w:r>
          </w:p>
        </w:tc>
        <w:tc>
          <w:tcPr>
            <w:tcW w:w="2410" w:type="dxa"/>
            <w:vAlign w:val="center"/>
          </w:tcPr>
          <w:p w14:paraId="63E5815A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92.3% (91.6%, 93.1%)</w:t>
            </w:r>
          </w:p>
        </w:tc>
        <w:tc>
          <w:tcPr>
            <w:tcW w:w="2268" w:type="dxa"/>
            <w:vAlign w:val="center"/>
          </w:tcPr>
          <w:p w14:paraId="76A03CA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87.1% (86.3%, 87.9%)</w:t>
            </w:r>
          </w:p>
        </w:tc>
        <w:tc>
          <w:tcPr>
            <w:tcW w:w="2409" w:type="dxa"/>
          </w:tcPr>
          <w:p w14:paraId="7C4490A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85.8% (84.9%, 86.6%)</w:t>
            </w:r>
          </w:p>
        </w:tc>
      </w:tr>
    </w:tbl>
    <w:p w14:paraId="47DA7E17" w14:textId="6994ADE4" w:rsidR="005B53DD" w:rsidRPr="005B53DD" w:rsidRDefault="005B53DD" w:rsidP="005B53DD">
      <w:pPr>
        <w:spacing w:before="120" w:after="120"/>
        <w:rPr>
          <w:rFonts w:ascii="Times New Roman" w:eastAsiaTheme="minorEastAsia" w:hAnsi="Times New Roman" w:cs="Times New Roman"/>
          <w:lang w:val="en-US" w:eastAsia="ja-JP"/>
        </w:rPr>
      </w:pP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The predictive accuracy of prediabetes (any definition) and a </w:t>
      </w:r>
      <w:r w:rsidR="007A28E5" w:rsidRPr="005B53DD">
        <w:rPr>
          <w:rFonts w:ascii="Times New Roman" w:eastAsiaTheme="minorEastAsia" w:hAnsi="Times New Roman" w:cs="Times New Roman"/>
          <w:lang w:val="en-US" w:eastAsia="ja-JP"/>
        </w:rPr>
        <w:t>high-risk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cluster at baseline in the SDPP study. The </w:t>
      </w:r>
      <w:r w:rsidR="007A28E5" w:rsidRPr="005B53DD">
        <w:rPr>
          <w:rFonts w:ascii="Times New Roman" w:eastAsiaTheme="minorEastAsia" w:hAnsi="Times New Roman" w:cs="Times New Roman"/>
          <w:lang w:val="en-US" w:eastAsia="ja-JP"/>
        </w:rPr>
        <w:t>high-risk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clusters include the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high blood pressure (HRHBP), the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beta cell failure (HRBF) and the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risk insulin resistance (HRIR) clusters. </w:t>
      </w:r>
    </w:p>
    <w:p w14:paraId="24240383" w14:textId="77777777" w:rsidR="005B53DD" w:rsidRPr="005B53DD" w:rsidRDefault="005B53DD" w:rsidP="005B53DD">
      <w:pPr>
        <w:keepNext/>
        <w:spacing w:before="120" w:after="60" w:line="360" w:lineRule="auto"/>
        <w:outlineLvl w:val="1"/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</w:pPr>
      <w:r w:rsidRPr="005B53DD">
        <w:rPr>
          <w:rFonts w:ascii="Times New Roman" w:eastAsia="MS Mincho" w:hAnsi="Times New Roman" w:cs="Times New Roman"/>
          <w:b/>
          <w:sz w:val="24"/>
          <w:szCs w:val="20"/>
          <w:lang w:val="en-US" w:eastAsia="ja-JP"/>
        </w:rPr>
        <w:lastRenderedPageBreak/>
        <w:t xml:space="preserve">Table S8. </w:t>
      </w:r>
      <w:proofErr w:type="spellStart"/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>Intrarater</w:t>
      </w:r>
      <w:proofErr w:type="spellEnd"/>
      <w:r w:rsidRPr="005B53DD">
        <w:rPr>
          <w:rFonts w:ascii="Times New Roman" w:eastAsia="MS Mincho" w:hAnsi="Times New Roman" w:cs="Times New Roman"/>
          <w:bCs/>
          <w:sz w:val="24"/>
          <w:szCs w:val="20"/>
          <w:lang w:val="en-US" w:eastAsia="ja-JP"/>
        </w:rPr>
        <w:t xml:space="preserve"> reliability of clusters and prediabetes in the SDPP study</w:t>
      </w:r>
    </w:p>
    <w:tbl>
      <w:tblPr>
        <w:tblStyle w:val="Tabellrutnt"/>
        <w:tblW w:w="12996" w:type="dxa"/>
        <w:tblLook w:val="04A0" w:firstRow="1" w:lastRow="0" w:firstColumn="1" w:lastColumn="0" w:noHBand="0" w:noVBand="1"/>
      </w:tblPr>
      <w:tblGrid>
        <w:gridCol w:w="1736"/>
        <w:gridCol w:w="1981"/>
        <w:gridCol w:w="1879"/>
        <w:gridCol w:w="1942"/>
        <w:gridCol w:w="2072"/>
        <w:gridCol w:w="1693"/>
        <w:gridCol w:w="1693"/>
      </w:tblGrid>
      <w:tr w:rsidR="005B53DD" w:rsidRPr="005B53DD" w14:paraId="5259555D" w14:textId="77777777" w:rsidTr="00CE3D08">
        <w:trPr>
          <w:trHeight w:val="401"/>
        </w:trPr>
        <w:tc>
          <w:tcPr>
            <w:tcW w:w="1736" w:type="dxa"/>
            <w:vAlign w:val="center"/>
          </w:tcPr>
          <w:p w14:paraId="14A77330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1" w:type="dxa"/>
            <w:vAlign w:val="center"/>
          </w:tcPr>
          <w:p w14:paraId="76FAAD8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79" w:type="dxa"/>
            <w:vAlign w:val="center"/>
          </w:tcPr>
          <w:p w14:paraId="09E13ED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42" w:type="dxa"/>
            <w:vAlign w:val="center"/>
          </w:tcPr>
          <w:p w14:paraId="2134633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ADA</w:t>
            </w:r>
          </w:p>
        </w:tc>
        <w:tc>
          <w:tcPr>
            <w:tcW w:w="2072" w:type="dxa"/>
            <w:vAlign w:val="center"/>
          </w:tcPr>
          <w:p w14:paraId="71CE4BA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693" w:type="dxa"/>
            <w:vAlign w:val="center"/>
          </w:tcPr>
          <w:p w14:paraId="123850DC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WHO</w:t>
            </w:r>
          </w:p>
        </w:tc>
        <w:tc>
          <w:tcPr>
            <w:tcW w:w="1693" w:type="dxa"/>
            <w:vAlign w:val="center"/>
          </w:tcPr>
          <w:p w14:paraId="1582B4A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</w:tr>
      <w:tr w:rsidR="005B53DD" w:rsidRPr="005B53DD" w14:paraId="09755A11" w14:textId="77777777" w:rsidTr="00CE3D08">
        <w:trPr>
          <w:trHeight w:val="401"/>
        </w:trPr>
        <w:tc>
          <w:tcPr>
            <w:tcW w:w="1736" w:type="dxa"/>
            <w:vAlign w:val="center"/>
          </w:tcPr>
          <w:p w14:paraId="482CC3CD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981" w:type="dxa"/>
            <w:vAlign w:val="center"/>
          </w:tcPr>
          <w:p w14:paraId="7860625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VLR, LRLB, LRHB, HRHBP, HRBF, HRIR</w:t>
            </w:r>
          </w:p>
        </w:tc>
        <w:tc>
          <w:tcPr>
            <w:tcW w:w="1879" w:type="dxa"/>
            <w:vAlign w:val="center"/>
          </w:tcPr>
          <w:p w14:paraId="24A99FC3" w14:textId="74537196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High</w:t>
            </w:r>
            <w:r w:rsidR="007A28E5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-</w:t>
            </w: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risk clusters</w:t>
            </w:r>
          </w:p>
        </w:tc>
        <w:tc>
          <w:tcPr>
            <w:tcW w:w="1942" w:type="dxa"/>
            <w:vAlign w:val="center"/>
          </w:tcPr>
          <w:p w14:paraId="1A62D4E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sv-SE"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val="sv-SE" w:eastAsia="ja-JP"/>
              </w:rPr>
              <w:t>NGT, IFG, IGT, IFG&amp;IGT</w:t>
            </w:r>
          </w:p>
        </w:tc>
        <w:tc>
          <w:tcPr>
            <w:tcW w:w="2072" w:type="dxa"/>
            <w:vAlign w:val="center"/>
          </w:tcPr>
          <w:p w14:paraId="5C8F872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Any Prediabetes</w:t>
            </w:r>
          </w:p>
        </w:tc>
        <w:tc>
          <w:tcPr>
            <w:tcW w:w="1693" w:type="dxa"/>
            <w:vAlign w:val="center"/>
          </w:tcPr>
          <w:p w14:paraId="0941A59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sv-SE"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val="sv-SE" w:eastAsia="ja-JP"/>
              </w:rPr>
              <w:t>NGT, IFG, IGT, IFG&amp;IGT</w:t>
            </w:r>
          </w:p>
        </w:tc>
        <w:tc>
          <w:tcPr>
            <w:tcW w:w="1693" w:type="dxa"/>
            <w:vAlign w:val="center"/>
          </w:tcPr>
          <w:p w14:paraId="367A35F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Any Prediabetes</w:t>
            </w:r>
          </w:p>
        </w:tc>
      </w:tr>
      <w:tr w:rsidR="005B53DD" w:rsidRPr="005B53DD" w14:paraId="59C72CA0" w14:textId="77777777" w:rsidTr="00CE3D08">
        <w:tc>
          <w:tcPr>
            <w:tcW w:w="1736" w:type="dxa"/>
            <w:vAlign w:val="center"/>
          </w:tcPr>
          <w:p w14:paraId="760CF206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Percent agreement</w:t>
            </w:r>
          </w:p>
        </w:tc>
        <w:tc>
          <w:tcPr>
            <w:tcW w:w="1981" w:type="dxa"/>
            <w:vAlign w:val="center"/>
          </w:tcPr>
          <w:p w14:paraId="69ADC4B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39.0% (37.9%, 40.2%)</w:t>
            </w:r>
          </w:p>
        </w:tc>
        <w:tc>
          <w:tcPr>
            <w:tcW w:w="1879" w:type="dxa"/>
            <w:vAlign w:val="center"/>
          </w:tcPr>
          <w:p w14:paraId="4A5FA58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73.5% (72.4%, 74.6%)</w:t>
            </w:r>
          </w:p>
        </w:tc>
        <w:tc>
          <w:tcPr>
            <w:tcW w:w="1942" w:type="dxa"/>
            <w:vAlign w:val="center"/>
          </w:tcPr>
          <w:p w14:paraId="525DDCBF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72.9% (71.7%, 74.1%)</w:t>
            </w:r>
          </w:p>
        </w:tc>
        <w:tc>
          <w:tcPr>
            <w:tcW w:w="2072" w:type="dxa"/>
            <w:vAlign w:val="center"/>
          </w:tcPr>
          <w:p w14:paraId="75EA67C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 xml:space="preserve">74.4% (73.3%,75.6%) </w:t>
            </w:r>
          </w:p>
        </w:tc>
        <w:tc>
          <w:tcPr>
            <w:tcW w:w="1693" w:type="dxa"/>
          </w:tcPr>
          <w:p w14:paraId="3C9BEF58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85.1% (84.1%, 86.1%)</w:t>
            </w:r>
          </w:p>
        </w:tc>
        <w:tc>
          <w:tcPr>
            <w:tcW w:w="1693" w:type="dxa"/>
          </w:tcPr>
          <w:p w14:paraId="4539E9B2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85.6% (84.6%, 86.6%)</w:t>
            </w:r>
          </w:p>
        </w:tc>
      </w:tr>
      <w:tr w:rsidR="005B53DD" w:rsidRPr="005B53DD" w14:paraId="1D4C6F86" w14:textId="77777777" w:rsidTr="00CE3D08">
        <w:tc>
          <w:tcPr>
            <w:tcW w:w="1736" w:type="dxa"/>
            <w:vAlign w:val="center"/>
          </w:tcPr>
          <w:p w14:paraId="4907E398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Kappa</w:t>
            </w:r>
          </w:p>
        </w:tc>
        <w:tc>
          <w:tcPr>
            <w:tcW w:w="1981" w:type="dxa"/>
            <w:vAlign w:val="center"/>
          </w:tcPr>
          <w:p w14:paraId="4EB3268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0.25 (0.23, 0.26)</w:t>
            </w:r>
          </w:p>
        </w:tc>
        <w:tc>
          <w:tcPr>
            <w:tcW w:w="1879" w:type="dxa"/>
            <w:vAlign w:val="center"/>
          </w:tcPr>
          <w:p w14:paraId="49D9902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0.41 (0.38, 0.43)</w:t>
            </w:r>
          </w:p>
        </w:tc>
        <w:tc>
          <w:tcPr>
            <w:tcW w:w="1942" w:type="dxa"/>
            <w:vAlign w:val="center"/>
          </w:tcPr>
          <w:p w14:paraId="3A7C588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0.22 (0.20, 0.24)</w:t>
            </w:r>
          </w:p>
        </w:tc>
        <w:tc>
          <w:tcPr>
            <w:tcW w:w="2072" w:type="dxa"/>
            <w:vAlign w:val="center"/>
          </w:tcPr>
          <w:p w14:paraId="4F5DE307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0.23 (0.21, 0.26)</w:t>
            </w:r>
          </w:p>
        </w:tc>
        <w:tc>
          <w:tcPr>
            <w:tcW w:w="1693" w:type="dxa"/>
          </w:tcPr>
          <w:p w14:paraId="5FDB5A2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0.22 (0.19, 0.23)</w:t>
            </w:r>
          </w:p>
        </w:tc>
        <w:tc>
          <w:tcPr>
            <w:tcW w:w="1693" w:type="dxa"/>
          </w:tcPr>
          <w:p w14:paraId="7D1EAFD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0.23 (0.20, 0.26)</w:t>
            </w:r>
          </w:p>
        </w:tc>
      </w:tr>
      <w:tr w:rsidR="005B53DD" w:rsidRPr="005B53DD" w14:paraId="67F0049D" w14:textId="77777777" w:rsidTr="00CE3D08">
        <w:tc>
          <w:tcPr>
            <w:tcW w:w="1736" w:type="dxa"/>
            <w:vAlign w:val="center"/>
          </w:tcPr>
          <w:p w14:paraId="185F25F3" w14:textId="77777777" w:rsidR="005B53DD" w:rsidRPr="005B53DD" w:rsidRDefault="005B53DD" w:rsidP="005B53DD">
            <w:pPr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proofErr w:type="spellStart"/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>Gwet</w:t>
            </w:r>
            <w:proofErr w:type="spellEnd"/>
            <w:r w:rsidRPr="005B53DD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 xml:space="preserve"> AC1</w:t>
            </w:r>
          </w:p>
        </w:tc>
        <w:tc>
          <w:tcPr>
            <w:tcW w:w="1981" w:type="dxa"/>
            <w:vAlign w:val="center"/>
          </w:tcPr>
          <w:p w14:paraId="153F8C9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0.27 (0.26, 0.29)</w:t>
            </w:r>
          </w:p>
        </w:tc>
        <w:tc>
          <w:tcPr>
            <w:tcW w:w="1879" w:type="dxa"/>
            <w:vAlign w:val="center"/>
          </w:tcPr>
          <w:p w14:paraId="4200F789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0.52 (0.50, 0.55)</w:t>
            </w:r>
          </w:p>
        </w:tc>
        <w:tc>
          <w:tcPr>
            <w:tcW w:w="1942" w:type="dxa"/>
            <w:vAlign w:val="center"/>
          </w:tcPr>
          <w:p w14:paraId="3A252095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0.69 (0.68, 0.71)</w:t>
            </w:r>
          </w:p>
        </w:tc>
        <w:tc>
          <w:tcPr>
            <w:tcW w:w="2072" w:type="dxa"/>
            <w:vAlign w:val="center"/>
          </w:tcPr>
          <w:p w14:paraId="3D5FB77D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0.63 (0.60, 0.65)</w:t>
            </w:r>
          </w:p>
        </w:tc>
        <w:tc>
          <w:tcPr>
            <w:tcW w:w="1693" w:type="dxa"/>
          </w:tcPr>
          <w:p w14:paraId="1C0F1B91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0.84 (0.83, 0.85)</w:t>
            </w:r>
          </w:p>
        </w:tc>
        <w:tc>
          <w:tcPr>
            <w:tcW w:w="1693" w:type="dxa"/>
          </w:tcPr>
          <w:p w14:paraId="0AA14566" w14:textId="77777777" w:rsidR="005B53DD" w:rsidRPr="005B53DD" w:rsidRDefault="005B53DD" w:rsidP="005B53DD">
            <w:pPr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B53DD">
              <w:rPr>
                <w:rFonts w:ascii="Times New Roman" w:eastAsiaTheme="minorEastAsia" w:hAnsi="Times New Roman" w:cs="Times New Roman"/>
                <w:lang w:eastAsia="ja-JP"/>
              </w:rPr>
              <w:t>0.82 (0.81, 0.84)</w:t>
            </w:r>
          </w:p>
        </w:tc>
      </w:tr>
    </w:tbl>
    <w:p w14:paraId="7DEDDB77" w14:textId="41BBC9D9" w:rsidR="005B53DD" w:rsidRPr="005B53DD" w:rsidRDefault="005B53DD" w:rsidP="005B53DD">
      <w:pPr>
        <w:spacing w:before="120" w:after="120"/>
        <w:rPr>
          <w:rFonts w:ascii="Times New Roman" w:eastAsiaTheme="minorEastAsia" w:hAnsi="Times New Roman" w:cs="Times New Roman"/>
          <w:lang w:val="en-US" w:eastAsia="ja-JP"/>
        </w:rPr>
      </w:pP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VLR: very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, LRLB: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low β-cell function, LRHB: </w:t>
      </w:r>
      <w:r w:rsidR="00901F37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high β-cell function, HRHBP: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high blood pressure, HRBF: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beta failure, HRIR: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risk insulin resistance, NGT: normal glucose tolerance, IFG: impaired fasting glucose, IGT: impaired glucose tolerance. </w:t>
      </w:r>
    </w:p>
    <w:p w14:paraId="29095BAB" w14:textId="4C374B3C" w:rsidR="005B53DD" w:rsidRPr="005B53DD" w:rsidRDefault="005B53DD" w:rsidP="005B53DD">
      <w:pPr>
        <w:rPr>
          <w:rFonts w:ascii="Times New Roman" w:eastAsiaTheme="minorEastAsia" w:hAnsi="Times New Roman" w:cs="Times New Roman"/>
          <w:lang w:val="en-US" w:eastAsia="ja-JP"/>
        </w:rPr>
      </w:pPr>
      <w:proofErr w:type="spellStart"/>
      <w:r w:rsidRPr="005B53DD">
        <w:rPr>
          <w:rFonts w:ascii="Times New Roman" w:eastAsiaTheme="minorEastAsia" w:hAnsi="Times New Roman" w:cs="Times New Roman"/>
          <w:lang w:val="en-US" w:eastAsia="ja-JP"/>
        </w:rPr>
        <w:t>Intrarater</w:t>
      </w:r>
      <w:proofErr w:type="spellEnd"/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reliability indexes were estimated using the baseline, 10 year and 20 years follow-ups of the SDPP study. We estimated the coefficients using the six different clusters and a binary indicator dividing them into </w:t>
      </w:r>
      <w:r w:rsidR="007A28E5" w:rsidRPr="005B53DD">
        <w:rPr>
          <w:rFonts w:ascii="Times New Roman" w:eastAsiaTheme="minorEastAsia" w:hAnsi="Times New Roman" w:cs="Times New Roman"/>
          <w:lang w:val="en-US" w:eastAsia="ja-JP"/>
        </w:rPr>
        <w:t>low-risk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 xml:space="preserve"> cluster and high</w:t>
      </w:r>
      <w:r w:rsidR="007A28E5">
        <w:rPr>
          <w:rFonts w:ascii="Times New Roman" w:eastAsiaTheme="minorEastAsia" w:hAnsi="Times New Roman" w:cs="Times New Roman"/>
          <w:lang w:val="en-US" w:eastAsia="ja-JP"/>
        </w:rPr>
        <w:t>-</w:t>
      </w:r>
      <w:r w:rsidRPr="005B53DD">
        <w:rPr>
          <w:rFonts w:ascii="Times New Roman" w:eastAsiaTheme="minorEastAsia" w:hAnsi="Times New Roman" w:cs="Times New Roman"/>
          <w:lang w:val="en-US" w:eastAsia="ja-JP"/>
        </w:rPr>
        <w:t>risk clusters. Similarly, for prediabetes, we estimated agreement using the different prediabetic states (IFG, IGT or both) and then as a binary measure combining all definitions.</w:t>
      </w:r>
    </w:p>
    <w:sectPr w:rsidR="005B53DD" w:rsidRPr="005B53DD" w:rsidSect="00BB4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3778"/>
    <w:multiLevelType w:val="multilevel"/>
    <w:tmpl w:val="466059E4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EA"/>
    <w:rsid w:val="00003B40"/>
    <w:rsid w:val="00011C37"/>
    <w:rsid w:val="002324E4"/>
    <w:rsid w:val="0044628A"/>
    <w:rsid w:val="005B53DD"/>
    <w:rsid w:val="005F5149"/>
    <w:rsid w:val="00610E37"/>
    <w:rsid w:val="00673A3F"/>
    <w:rsid w:val="0075534E"/>
    <w:rsid w:val="00791592"/>
    <w:rsid w:val="007A28E5"/>
    <w:rsid w:val="007C6484"/>
    <w:rsid w:val="00901F37"/>
    <w:rsid w:val="00927461"/>
    <w:rsid w:val="00A66453"/>
    <w:rsid w:val="00BB4EB3"/>
    <w:rsid w:val="00CB135E"/>
    <w:rsid w:val="00DC32AE"/>
    <w:rsid w:val="00DF59E3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C83"/>
  <w15:chartTrackingRefBased/>
  <w15:docId w15:val="{5749F639-1225-4E46-A0E0-398E6CC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53DD"/>
    <w:pPr>
      <w:keepNext/>
      <w:numPr>
        <w:numId w:val="1"/>
      </w:numPr>
      <w:spacing w:before="120" w:after="60" w:line="360" w:lineRule="auto"/>
      <w:jc w:val="both"/>
      <w:outlineLvl w:val="0"/>
    </w:pPr>
    <w:rPr>
      <w:rFonts w:ascii="Times New Roman" w:eastAsia="MS Mincho" w:hAnsi="Times New Roman" w:cs="Times New Roman"/>
      <w:b/>
      <w:kern w:val="28"/>
      <w:sz w:val="24"/>
      <w:szCs w:val="20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53DD"/>
    <w:pPr>
      <w:keepNext/>
      <w:numPr>
        <w:ilvl w:val="1"/>
        <w:numId w:val="1"/>
      </w:numPr>
      <w:spacing w:before="120" w:after="60" w:line="360" w:lineRule="auto"/>
      <w:outlineLvl w:val="1"/>
    </w:pPr>
    <w:rPr>
      <w:rFonts w:ascii="Times New Roman" w:eastAsia="MS Mincho" w:hAnsi="Times New Roman" w:cs="Arial"/>
      <w:b/>
      <w:sz w:val="24"/>
      <w:szCs w:val="20"/>
      <w:lang w:val="en-US" w:eastAsia="ja-JP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53D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B5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53DD"/>
    <w:rPr>
      <w:rFonts w:ascii="Times New Roman" w:eastAsia="MS Mincho" w:hAnsi="Times New Roman" w:cs="Times New Roman"/>
      <w:b/>
      <w:kern w:val="28"/>
      <w:sz w:val="24"/>
      <w:szCs w:val="20"/>
      <w:lang w:val="en-US"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5B53DD"/>
    <w:rPr>
      <w:rFonts w:ascii="Times New Roman" w:eastAsia="MS Mincho" w:hAnsi="Times New Roman" w:cs="Arial"/>
      <w:b/>
      <w:sz w:val="24"/>
      <w:szCs w:val="20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5B53DD"/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B53D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numbering" w:customStyle="1" w:styleId="Ingenlista1">
    <w:name w:val="Ingen lista1"/>
    <w:next w:val="Ingenlista"/>
    <w:uiPriority w:val="99"/>
    <w:semiHidden/>
    <w:unhideWhenUsed/>
    <w:rsid w:val="005B53DD"/>
  </w:style>
  <w:style w:type="paragraph" w:styleId="Rubrik">
    <w:name w:val="Title"/>
    <w:basedOn w:val="Normal"/>
    <w:next w:val="Normal"/>
    <w:link w:val="RubrikChar"/>
    <w:uiPriority w:val="10"/>
    <w:qFormat/>
    <w:rsid w:val="005B53D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5B53DD"/>
    <w:rPr>
      <w:rFonts w:ascii="Times New Roman" w:eastAsiaTheme="majorEastAsia" w:hAnsi="Times New Roman" w:cstheme="majorBidi"/>
      <w:spacing w:val="-10"/>
      <w:kern w:val="28"/>
      <w:sz w:val="40"/>
      <w:szCs w:val="56"/>
      <w:lang w:val="en-US"/>
    </w:rPr>
  </w:style>
  <w:style w:type="table" w:styleId="Tabellrutnt">
    <w:name w:val="Table Grid"/>
    <w:basedOn w:val="Normaltabell"/>
    <w:uiPriority w:val="39"/>
    <w:rsid w:val="005B53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5B53DD"/>
    <w:rPr>
      <w:rFonts w:eastAsiaTheme="minorEastAsia"/>
      <w:i/>
      <w:iCs/>
      <w:color w:val="4472C4" w:themeColor="accent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B53DD"/>
    <w:pPr>
      <w:spacing w:line="240" w:lineRule="auto"/>
    </w:pPr>
    <w:rPr>
      <w:rFonts w:ascii="Times New Roman" w:eastAsiaTheme="minorEastAsia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5B53DD"/>
    <w:rPr>
      <w:rFonts w:ascii="Times New Roman" w:eastAsiaTheme="minorEastAsia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1642</Words>
  <Characters>8703</Characters>
  <Application>Microsoft Office Word</Application>
  <DocSecurity>0</DocSecurity>
  <Lines>72</Lines>
  <Paragraphs>20</Paragraphs>
  <ScaleCrop>false</ScaleCrop>
  <Company>SLSO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Yacaman Mendez</dc:creator>
  <cp:keywords/>
  <dc:description/>
  <cp:lastModifiedBy>Diego Yacaman Mendez</cp:lastModifiedBy>
  <cp:revision>22</cp:revision>
  <dcterms:created xsi:type="dcterms:W3CDTF">2022-08-24T11:47:00Z</dcterms:created>
  <dcterms:modified xsi:type="dcterms:W3CDTF">2022-08-24T13:06:00Z</dcterms:modified>
</cp:coreProperties>
</file>