
<file path=[Content_Types].xml><?xml version="1.0" encoding="utf-8"?>
<Types xmlns="http://schemas.openxmlformats.org/package/2006/content-types">
  <Default Extension="bin" ContentType="application/vnd.ms-word.attachedToolbars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E" w:rsidRPr="00326253" w:rsidRDefault="00636AEE" w:rsidP="002415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26253">
        <w:rPr>
          <w:rFonts w:ascii="Arial" w:hAnsi="Arial" w:cs="Arial"/>
          <w:b/>
          <w:sz w:val="28"/>
          <w:szCs w:val="28"/>
          <w:lang w:val="en-US"/>
        </w:rPr>
        <w:t xml:space="preserve">Increased activation of blood neutrophils after cigarette smoking </w:t>
      </w:r>
    </w:p>
    <w:p w:rsidR="00636AEE" w:rsidRPr="00326253" w:rsidRDefault="00636AEE" w:rsidP="002415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326253">
        <w:rPr>
          <w:rFonts w:ascii="Arial" w:hAnsi="Arial" w:cs="Arial"/>
          <w:b/>
          <w:sz w:val="28"/>
          <w:szCs w:val="28"/>
          <w:lang w:val="en-US"/>
        </w:rPr>
        <w:t>in</w:t>
      </w:r>
      <w:proofErr w:type="gramEnd"/>
      <w:r w:rsidRPr="00326253">
        <w:rPr>
          <w:rFonts w:ascii="Arial" w:hAnsi="Arial" w:cs="Arial"/>
          <w:b/>
          <w:sz w:val="28"/>
          <w:szCs w:val="28"/>
          <w:lang w:val="en-US"/>
        </w:rPr>
        <w:t xml:space="preserve"> young individuals susceptible to COPD</w:t>
      </w:r>
    </w:p>
    <w:p w:rsidR="00636AEE" w:rsidRPr="00326253" w:rsidRDefault="00636AEE" w:rsidP="002415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36AEE" w:rsidRPr="00326253" w:rsidRDefault="00636AEE" w:rsidP="002415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36AEE" w:rsidRPr="00EA495D" w:rsidRDefault="00636AEE" w:rsidP="002415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495D">
        <w:rPr>
          <w:rFonts w:ascii="Arial" w:hAnsi="Arial" w:cs="Arial"/>
          <w:sz w:val="24"/>
          <w:szCs w:val="24"/>
        </w:rPr>
        <w:t xml:space="preserve">Susan J.M. Hoonhorst, Wim Timens, Leo Koenderman, Jan Willem J. Lammers, H. Marike Boezen, Antoon </w:t>
      </w:r>
      <w:r w:rsidR="00A322E4" w:rsidRPr="00EA495D">
        <w:rPr>
          <w:rFonts w:ascii="Arial" w:hAnsi="Arial" w:cs="Arial"/>
          <w:sz w:val="24"/>
          <w:szCs w:val="24"/>
        </w:rPr>
        <w:t xml:space="preserve">J.M. </w:t>
      </w:r>
      <w:r w:rsidRPr="00EA495D">
        <w:rPr>
          <w:rFonts w:ascii="Arial" w:hAnsi="Arial" w:cs="Arial"/>
          <w:sz w:val="24"/>
          <w:szCs w:val="24"/>
        </w:rPr>
        <w:t>van Oosterhout, Dirkje S. Postm</w:t>
      </w:r>
      <w:r w:rsidR="0027111D" w:rsidRPr="00EA495D">
        <w:rPr>
          <w:rFonts w:ascii="Arial" w:hAnsi="Arial" w:cs="Arial"/>
          <w:sz w:val="24"/>
          <w:szCs w:val="24"/>
        </w:rPr>
        <w:t>a</w:t>
      </w:r>
      <w:r w:rsidRPr="00EA495D">
        <w:rPr>
          <w:rFonts w:ascii="Arial" w:hAnsi="Arial" w:cs="Arial"/>
          <w:sz w:val="24"/>
          <w:szCs w:val="24"/>
        </w:rPr>
        <w:t>, Nick H.T. ten Hacken</w:t>
      </w:r>
    </w:p>
    <w:p w:rsidR="00636AEE" w:rsidRPr="00EA495D" w:rsidRDefault="00636AEE">
      <w:pPr>
        <w:rPr>
          <w:rFonts w:ascii="Arial" w:hAnsi="Arial" w:cs="Arial"/>
          <w:sz w:val="24"/>
          <w:szCs w:val="24"/>
        </w:rPr>
      </w:pPr>
    </w:p>
    <w:p w:rsidR="00636AEE" w:rsidRPr="00EA495D" w:rsidRDefault="00636AEE">
      <w:pPr>
        <w:rPr>
          <w:rFonts w:ascii="Arial" w:hAnsi="Arial" w:cs="Arial"/>
          <w:sz w:val="24"/>
          <w:szCs w:val="24"/>
        </w:rPr>
      </w:pPr>
    </w:p>
    <w:p w:rsidR="00636AEE" w:rsidRPr="00EA495D" w:rsidRDefault="00636AEE">
      <w:pPr>
        <w:rPr>
          <w:rFonts w:ascii="Arial" w:hAnsi="Arial" w:cs="Arial"/>
          <w:sz w:val="24"/>
          <w:szCs w:val="24"/>
        </w:rPr>
      </w:pPr>
    </w:p>
    <w:p w:rsidR="00636AEE" w:rsidRPr="00EA495D" w:rsidRDefault="00636AEE">
      <w:pPr>
        <w:rPr>
          <w:rFonts w:ascii="Arial" w:hAnsi="Arial" w:cs="Arial"/>
          <w:sz w:val="24"/>
          <w:szCs w:val="24"/>
        </w:rPr>
      </w:pPr>
    </w:p>
    <w:p w:rsidR="00636AEE" w:rsidRPr="00EA495D" w:rsidRDefault="00636AEE">
      <w:pPr>
        <w:rPr>
          <w:rFonts w:ascii="Arial" w:hAnsi="Arial" w:cs="Arial"/>
          <w:sz w:val="24"/>
          <w:szCs w:val="24"/>
        </w:rPr>
      </w:pPr>
    </w:p>
    <w:p w:rsidR="00636AEE" w:rsidRPr="00EA495D" w:rsidRDefault="00636AEE">
      <w:pPr>
        <w:rPr>
          <w:rFonts w:ascii="Arial" w:hAnsi="Arial" w:cs="Arial"/>
          <w:sz w:val="24"/>
          <w:szCs w:val="24"/>
        </w:rPr>
      </w:pPr>
    </w:p>
    <w:p w:rsidR="00636AEE" w:rsidRPr="00EA495D" w:rsidRDefault="00636AEE">
      <w:pPr>
        <w:rPr>
          <w:rFonts w:ascii="Arial" w:hAnsi="Arial" w:cs="Arial"/>
          <w:sz w:val="24"/>
          <w:szCs w:val="24"/>
        </w:rPr>
      </w:pPr>
    </w:p>
    <w:p w:rsidR="00636AEE" w:rsidRPr="00326253" w:rsidRDefault="00636AEE" w:rsidP="0024150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t>Online data supplement</w:t>
      </w:r>
    </w:p>
    <w:p w:rsidR="00636AEE" w:rsidRPr="00326253" w:rsidRDefault="00636AEE" w:rsidP="00326253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br w:type="page"/>
      </w:r>
      <w:r w:rsidRPr="00326253">
        <w:rPr>
          <w:rFonts w:ascii="Arial" w:hAnsi="Arial" w:cs="Arial"/>
          <w:b/>
          <w:sz w:val="24"/>
          <w:szCs w:val="24"/>
          <w:lang w:val="en-US"/>
        </w:rPr>
        <w:lastRenderedPageBreak/>
        <w:t>METHODS</w:t>
      </w:r>
    </w:p>
    <w:p w:rsidR="00636AEE" w:rsidRPr="00326253" w:rsidRDefault="00636AEE" w:rsidP="00326253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t>Exclusion criteria</w:t>
      </w:r>
    </w:p>
    <w:p w:rsidR="00636AEE" w:rsidRPr="00326253" w:rsidRDefault="00636AEE" w:rsidP="0032625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Exclusion criteria were α-1-antitrypsin deficiency, acute pulmonary infections, prior history of significant inflammatory lung disease other than COPD, active infections, treatment with antibiotics or corticosteroids within 8 weeks, and recent diagnosis of cancer. In addition, medication which could affect the results of the study was excluded, such as anti-inflammatory drugs and immunosuppressive agents. </w:t>
      </w:r>
    </w:p>
    <w:p w:rsidR="00636AEE" w:rsidRPr="00326253" w:rsidRDefault="00636AEE" w:rsidP="00326253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636AEE" w:rsidRPr="00326253" w:rsidRDefault="00636AEE" w:rsidP="00326253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t xml:space="preserve">Flow </w:t>
      </w:r>
      <w:proofErr w:type="spellStart"/>
      <w:r w:rsidRPr="00326253">
        <w:rPr>
          <w:rFonts w:ascii="Arial" w:hAnsi="Arial" w:cs="Arial"/>
          <w:b/>
          <w:sz w:val="24"/>
          <w:szCs w:val="24"/>
          <w:lang w:val="en-US"/>
        </w:rPr>
        <w:t>cytometry</w:t>
      </w:r>
      <w:proofErr w:type="spellEnd"/>
      <w:r w:rsidRPr="00326253">
        <w:rPr>
          <w:rFonts w:ascii="Arial" w:hAnsi="Arial" w:cs="Arial"/>
          <w:b/>
          <w:sz w:val="24"/>
          <w:szCs w:val="24"/>
          <w:lang w:val="en-US"/>
        </w:rPr>
        <w:t xml:space="preserve"> analysis of </w:t>
      </w:r>
      <w:proofErr w:type="spellStart"/>
      <w:r w:rsidRPr="00326253">
        <w:rPr>
          <w:rFonts w:ascii="Arial" w:hAnsi="Arial" w:cs="Arial"/>
          <w:b/>
          <w:sz w:val="24"/>
          <w:szCs w:val="24"/>
          <w:lang w:val="en-US"/>
        </w:rPr>
        <w:t>neutrophilic</w:t>
      </w:r>
      <w:proofErr w:type="spellEnd"/>
      <w:r w:rsidRPr="00326253">
        <w:rPr>
          <w:rFonts w:ascii="Arial" w:hAnsi="Arial" w:cs="Arial"/>
          <w:b/>
          <w:sz w:val="24"/>
          <w:szCs w:val="24"/>
          <w:lang w:val="en-US"/>
        </w:rPr>
        <w:t xml:space="preserve"> surface receptors in blood </w:t>
      </w:r>
    </w:p>
    <w:p w:rsidR="00636AEE" w:rsidRPr="00326253" w:rsidRDefault="00636AEE" w:rsidP="0032625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Before and after smoking, peripheral blood was collected in tubes containing sodium heparin. </w:t>
      </w:r>
      <w:r w:rsidR="001B7073">
        <w:rPr>
          <w:rFonts w:ascii="Arial" w:hAnsi="Arial" w:cs="Arial"/>
          <w:sz w:val="24"/>
          <w:szCs w:val="24"/>
          <w:lang w:val="en-US"/>
        </w:rPr>
        <w:t>Red blood c</w:t>
      </w:r>
      <w:r w:rsidR="001B7073" w:rsidRPr="00326253">
        <w:rPr>
          <w:rFonts w:ascii="Arial" w:hAnsi="Arial" w:cs="Arial"/>
          <w:sz w:val="24"/>
          <w:szCs w:val="24"/>
          <w:lang w:val="en-US"/>
        </w:rPr>
        <w:t xml:space="preserve">ells </w:t>
      </w:r>
      <w:r w:rsidRPr="00326253">
        <w:rPr>
          <w:rFonts w:ascii="Arial" w:hAnsi="Arial" w:cs="Arial"/>
          <w:sz w:val="24"/>
          <w:szCs w:val="24"/>
          <w:lang w:val="en-US"/>
        </w:rPr>
        <w:t>were lysed and washed</w:t>
      </w:r>
      <w:r w:rsidRPr="0032625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326253">
        <w:rPr>
          <w:rFonts w:ascii="Arial" w:hAnsi="Arial" w:cs="Arial"/>
          <w:sz w:val="24"/>
          <w:szCs w:val="24"/>
          <w:lang w:val="en-US"/>
        </w:rPr>
        <w:t>with 5 ml cold PBS + 10g/l albumin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Albuman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>) + 0.32% sodium citrate. 25 µl of leukocytes (5x10</w:t>
      </w:r>
      <w:r w:rsidRPr="00326253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cells/ml) were triple stained with antibodies to identify the expression of activation markers on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neutrophils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; </w:t>
      </w:r>
      <w:r w:rsidR="00FB76A6" w:rsidRPr="00F076E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FB76A6" w:rsidRPr="00F076E0">
        <w:rPr>
          <w:rFonts w:ascii="Arial" w:hAnsi="Arial" w:cs="Arial"/>
          <w:sz w:val="24"/>
          <w:szCs w:val="24"/>
          <w:lang w:val="en-US"/>
        </w:rPr>
        <w:t>Fcγ</w:t>
      </w:r>
      <w:r w:rsidR="00FB76A6">
        <w:rPr>
          <w:rFonts w:ascii="Arial" w:hAnsi="Arial" w:cs="Arial"/>
          <w:sz w:val="24"/>
          <w:szCs w:val="24"/>
          <w:lang w:val="en-US"/>
        </w:rPr>
        <w:t>R</w:t>
      </w:r>
      <w:r w:rsidR="00FB76A6" w:rsidRPr="00F076E0">
        <w:rPr>
          <w:rFonts w:ascii="Arial" w:hAnsi="Arial" w:cs="Arial"/>
          <w:sz w:val="24"/>
          <w:szCs w:val="24"/>
          <w:lang w:val="en-US"/>
        </w:rPr>
        <w:t>II</w:t>
      </w:r>
      <w:proofErr w:type="spellEnd"/>
      <w:r w:rsidR="00FB76A6" w:rsidRPr="00F076E0">
        <w:rPr>
          <w:rFonts w:ascii="Arial" w:hAnsi="Arial" w:cs="Arial"/>
          <w:sz w:val="24"/>
          <w:szCs w:val="24"/>
          <w:lang w:val="en-US"/>
        </w:rPr>
        <w:t>) CD32, Mac-1 (CD11b), ICAM-1 (CD54), IL-8 receptors (CD181/CXCR1, CD182/CXCR2) combined with antibodies directed a</w:t>
      </w:r>
      <w:r w:rsidR="00FB76A6">
        <w:rPr>
          <w:rFonts w:ascii="Arial" w:hAnsi="Arial" w:cs="Arial"/>
          <w:sz w:val="24"/>
          <w:szCs w:val="24"/>
          <w:lang w:val="en-US"/>
        </w:rPr>
        <w:t>gainst L-</w:t>
      </w:r>
      <w:proofErr w:type="spellStart"/>
      <w:r w:rsidR="00FB76A6">
        <w:rPr>
          <w:rFonts w:ascii="Arial" w:hAnsi="Arial" w:cs="Arial"/>
          <w:sz w:val="24"/>
          <w:szCs w:val="24"/>
          <w:lang w:val="en-US"/>
        </w:rPr>
        <w:t>selectin</w:t>
      </w:r>
      <w:proofErr w:type="spellEnd"/>
      <w:r w:rsidR="00FB76A6">
        <w:rPr>
          <w:rFonts w:ascii="Arial" w:hAnsi="Arial" w:cs="Arial"/>
          <w:sz w:val="24"/>
          <w:szCs w:val="24"/>
          <w:lang w:val="en-US"/>
        </w:rPr>
        <w:t xml:space="preserve"> (CD62L) and </w:t>
      </w:r>
      <w:proofErr w:type="spellStart"/>
      <w:r w:rsidR="00FB76A6">
        <w:rPr>
          <w:rFonts w:ascii="Arial" w:hAnsi="Arial" w:cs="Arial"/>
          <w:sz w:val="24"/>
          <w:szCs w:val="24"/>
          <w:lang w:val="en-US"/>
        </w:rPr>
        <w:t>FcγRIII</w:t>
      </w:r>
      <w:proofErr w:type="spellEnd"/>
      <w:r w:rsidR="00FB76A6">
        <w:rPr>
          <w:rFonts w:ascii="Arial" w:hAnsi="Arial" w:cs="Arial"/>
          <w:sz w:val="24"/>
          <w:szCs w:val="24"/>
          <w:lang w:val="en-US"/>
        </w:rPr>
        <w:t xml:space="preserve"> (CD16)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 (to identify neutrophil and eosinophil populations, respectively). Cells were analyzed in a flow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cytometer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FACScalibur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>; BD Biosciences). Leucocyte populations were identified based on forward (FCS) and side-scatter (SSC) characteristics. Neutrophils were identified by CD62L</w:t>
      </w:r>
      <w:r w:rsidRPr="00326253">
        <w:rPr>
          <w:rFonts w:ascii="Arial" w:hAnsi="Arial" w:cs="Arial"/>
          <w:sz w:val="24"/>
          <w:szCs w:val="24"/>
          <w:vertAlign w:val="superscript"/>
          <w:lang w:val="en-US"/>
        </w:rPr>
        <w:t>high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 cells and eosinophils by CD16</w:t>
      </w:r>
      <w:r w:rsidRPr="00326253">
        <w:rPr>
          <w:rFonts w:ascii="Arial" w:hAnsi="Arial" w:cs="Arial"/>
          <w:sz w:val="24"/>
          <w:szCs w:val="24"/>
          <w:vertAlign w:val="superscript"/>
          <w:lang w:val="en-US"/>
        </w:rPr>
        <w:t>low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 cells in the granulocytes population. </w:t>
      </w:r>
    </w:p>
    <w:p w:rsidR="00636AEE" w:rsidRPr="00326253" w:rsidRDefault="00636AEE" w:rsidP="00326253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To identify the active form of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FcγRII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(CD32) on the surface of granulocytes directly FITC-labelled monoclonal phages antibodies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MoPhab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) A17 and A27 were used as described previously </w:t>
      </w:r>
      <w:r w:rsidR="00FE5556" w:rsidRPr="00326253">
        <w:rPr>
          <w:rFonts w:ascii="Arial" w:hAnsi="Arial" w:cs="Arial"/>
          <w:sz w:val="24"/>
          <w:szCs w:val="24"/>
          <w:lang w:val="en-US"/>
        </w:rPr>
        <w:fldChar w:fldCharType="begin"/>
      </w:r>
      <w:r w:rsidRPr="00326253">
        <w:rPr>
          <w:rFonts w:ascii="Arial" w:hAnsi="Arial" w:cs="Arial"/>
          <w:sz w:val="24"/>
          <w:szCs w:val="24"/>
          <w:lang w:val="en-US"/>
        </w:rPr>
        <w:instrText>ADDIN RW.CITE{{189 Koenderman,L. 2000}}</w:instrText>
      </w:r>
      <w:r w:rsidR="00FE5556" w:rsidRPr="00326253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326253">
        <w:rPr>
          <w:rFonts w:ascii="Arial" w:hAnsi="Arial" w:cs="Arial"/>
          <w:sz w:val="24"/>
          <w:szCs w:val="24"/>
          <w:lang w:val="en-US"/>
        </w:rPr>
        <w:t>(1)</w:t>
      </w:r>
      <w:r w:rsidR="00FE5556" w:rsidRPr="00326253">
        <w:rPr>
          <w:rFonts w:ascii="Arial" w:hAnsi="Arial" w:cs="Arial"/>
          <w:sz w:val="24"/>
          <w:szCs w:val="24"/>
          <w:lang w:val="en-US"/>
        </w:rPr>
        <w:fldChar w:fldCharType="end"/>
      </w:r>
      <w:r w:rsidRPr="00326253">
        <w:rPr>
          <w:rFonts w:ascii="Arial" w:hAnsi="Arial" w:cs="Arial"/>
          <w:sz w:val="24"/>
          <w:szCs w:val="24"/>
          <w:lang w:val="en-US"/>
        </w:rPr>
        <w:t xml:space="preserve">. In short, 50 µl of whole blood was primed during 5 minutes by 37 °C. After 5 minutes, samples were incubated with antibodies A17, A27, and CD11b during 1 hour. Red blood cells were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lysed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in a flow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lastRenderedPageBreak/>
        <w:t>cytometer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FACSCalibur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>; BD Biosciences). The neutrophil population was identified based on FCS and SSC characteristics.</w:t>
      </w:r>
    </w:p>
    <w:p w:rsidR="00636AEE" w:rsidRPr="00326253" w:rsidRDefault="00636AEE" w:rsidP="00326253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Antibodies specifications: CD16 (clone 3G), CD62L (clone DREG56) and CD32 (clone FLI8.26) were obtained from BD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Pharmingen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(San Diego, CA, USA); CD11b (clone 2LPM19c) from DAKO (Copenhagen, Denmark); CD54 (clone MEM-111) from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Caltag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(San Francisco, CA, USA); </w:t>
      </w:r>
      <w:r w:rsidR="00BF7D37" w:rsidRPr="00326253">
        <w:rPr>
          <w:rFonts w:ascii="Arial" w:hAnsi="Arial" w:cs="Arial"/>
          <w:sz w:val="24"/>
          <w:szCs w:val="24"/>
          <w:lang w:val="en-US"/>
        </w:rPr>
        <w:t>CD181/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CXCR1 (clone 42705) and </w:t>
      </w:r>
      <w:r w:rsidR="00BF7D37" w:rsidRPr="00326253">
        <w:rPr>
          <w:rFonts w:ascii="Arial" w:hAnsi="Arial" w:cs="Arial"/>
          <w:sz w:val="24"/>
          <w:szCs w:val="24"/>
          <w:lang w:val="en-US"/>
        </w:rPr>
        <w:t>CD182/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CXCR2 (clone 48311) from R&amp;D systems (Europe, UK). </w:t>
      </w:r>
    </w:p>
    <w:p w:rsidR="00636AEE" w:rsidRPr="00326253" w:rsidRDefault="00636AEE" w:rsidP="00326253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All data of flow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cytometry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were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by FCS Express Version 3 (De Novo software) and for each antibody the median fluorescence intensity (MFI) was calculated. </w:t>
      </w:r>
    </w:p>
    <w:p w:rsidR="00636AEE" w:rsidRPr="00326253" w:rsidRDefault="00636AEE" w:rsidP="00326253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636AEE" w:rsidRPr="00326253" w:rsidRDefault="00636AEE" w:rsidP="00326253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t>Multiplex analysis</w:t>
      </w:r>
    </w:p>
    <w:p w:rsidR="00636AEE" w:rsidRPr="00326253" w:rsidRDefault="00636AEE" w:rsidP="0032625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Before and after smoking, blood was collected in serum tubes containing clot activator and gel for serum separation. The tubes were stored at room temperature during 2-3 hours and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centrifugated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afterwards (2000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rcfmax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at room temperature, 10 minutes). Serum was obtained and stored at -80°C until analyses were performed. Cytokine quantification was performed by multiplex analyses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Milliplex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, Millipore Corporation, Billerica, MA, USA). </w:t>
      </w:r>
    </w:p>
    <w:p w:rsidR="00636AEE" w:rsidRPr="00326253" w:rsidRDefault="00636AEE" w:rsidP="00326253">
      <w:pPr>
        <w:spacing w:after="0" w:line="480" w:lineRule="auto"/>
        <w:jc w:val="both"/>
        <w:rPr>
          <w:rFonts w:ascii="Arial" w:hAnsi="Arial" w:cs="Arial"/>
          <w:color w:val="FF0000"/>
          <w:sz w:val="24"/>
          <w:szCs w:val="24"/>
          <w:u w:val="single"/>
          <w:lang w:val="en-US"/>
        </w:rPr>
      </w:pPr>
    </w:p>
    <w:p w:rsidR="00636AEE" w:rsidRPr="00326253" w:rsidRDefault="00636AEE" w:rsidP="00326253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t>Inflammatory cells in bronchial biopsies</w:t>
      </w:r>
    </w:p>
    <w:p w:rsidR="006324E8" w:rsidRPr="00326253" w:rsidRDefault="00636AEE" w:rsidP="00470CCF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OLE_LINK1"/>
      <w:r w:rsidRPr="00326253">
        <w:rPr>
          <w:rFonts w:ascii="Arial" w:hAnsi="Arial" w:cs="Arial"/>
          <w:sz w:val="24"/>
          <w:szCs w:val="24"/>
          <w:lang w:val="en-US"/>
        </w:rPr>
        <w:t xml:space="preserve">After administering of local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anaesthesia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lidocain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2-4%), a flexible bronchoscope was introduced and bronchial biopsies were taken from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subsegmental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carinae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of the right lower lobe. Biopsies were fixed in 4% neutral buffered formalin, processed and embedded in paraffin and cut in 3 µm sections. Quality of biopsies was verified by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hematoxylin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and eosin (HE) staining.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Immunohistochemical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stainings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were </w:t>
      </w:r>
      <w:r w:rsidRPr="00326253">
        <w:rPr>
          <w:rFonts w:ascii="Arial" w:hAnsi="Arial" w:cs="Arial"/>
          <w:sz w:val="24"/>
          <w:szCs w:val="24"/>
          <w:lang w:val="en-US"/>
        </w:rPr>
        <w:lastRenderedPageBreak/>
        <w:t xml:space="preserve">performed using the DAKO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autostainer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(DAKO,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Glostrup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>, Denmark), by antibodies against T-lymphocytes (CD3 (DAKO), CD4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Novocastra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), CD8 (DAKO)),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Treg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-lymphocytes (FoxP3,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Abcam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neutrophils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(NP57, DAKO), macrophages (CD68, DAKO), mast cells (AA1, DAKO), and eosinophils (EPX, Lee Labs). Sections were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deparaffinized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, antigens were retrieved and then sections were incubated with primary antibodies. </w:t>
      </w:r>
      <w:r w:rsidR="00470CCF">
        <w:rPr>
          <w:rFonts w:ascii="Arial" w:hAnsi="Arial" w:cs="Arial"/>
          <w:sz w:val="24"/>
          <w:szCs w:val="24"/>
          <w:lang w:val="en-US"/>
        </w:rPr>
        <w:t xml:space="preserve">Primary antibodies CD3, CD4, FoxP3, NP57, CD68 and AA1 were 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detected with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NovaRed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kit (Vector Labs, Burlingame, USA). </w:t>
      </w:r>
      <w:r w:rsidR="00470CCF">
        <w:rPr>
          <w:rFonts w:ascii="Arial" w:hAnsi="Arial" w:cs="Arial"/>
          <w:sz w:val="24"/>
          <w:szCs w:val="24"/>
          <w:lang w:val="en-US"/>
        </w:rPr>
        <w:t xml:space="preserve">CD8 was detected using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biotinylated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anti-mouse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IgGI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and streptavidin labelled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peroxidase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antibodies followed y the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chromogen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Nova red. EPX was detected using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biotiniylated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anti-mouse and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streptavidin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alkalin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phosphase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antibodies followed by the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chrmogen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0CCF">
        <w:rPr>
          <w:rFonts w:ascii="Arial" w:hAnsi="Arial" w:cs="Arial"/>
          <w:sz w:val="24"/>
          <w:szCs w:val="24"/>
          <w:lang w:val="en-US"/>
        </w:rPr>
        <w:t>Permant</w:t>
      </w:r>
      <w:proofErr w:type="spellEnd"/>
      <w:r w:rsidR="00470CCF">
        <w:rPr>
          <w:rFonts w:ascii="Arial" w:hAnsi="Arial" w:cs="Arial"/>
          <w:sz w:val="24"/>
          <w:szCs w:val="24"/>
          <w:lang w:val="en-US"/>
        </w:rPr>
        <w:t xml:space="preserve"> Red. All s</w:t>
      </w:r>
      <w:r w:rsidR="00470CCF" w:rsidRPr="00326253">
        <w:rPr>
          <w:rFonts w:ascii="Arial" w:hAnsi="Arial" w:cs="Arial"/>
          <w:sz w:val="24"/>
          <w:szCs w:val="24"/>
          <w:lang w:val="en-US"/>
        </w:rPr>
        <w:t xml:space="preserve">ections 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were counterstained with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methylgreen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greenblue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>).</w:t>
      </w:r>
      <w:r w:rsidRPr="0032625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bookmarkEnd w:id="0"/>
    </w:p>
    <w:p w:rsidR="00636AEE" w:rsidRPr="00326253" w:rsidRDefault="00636AEE" w:rsidP="00326253">
      <w:pPr>
        <w:spacing w:after="0" w:line="48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Quantification of all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stainings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was performed by one blinded observer, using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ImageScope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Aperio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Technologies, version 11.2.0.780).</w:t>
      </w:r>
      <w:r w:rsidRPr="0032625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Quantification was performed on the largest of three biopsy sections. The number of positive stained inflammatory cells (i.e. positively stained nuclei) was scored in the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submucosal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area, 100 µm under the basement membrane and in a total area of 0.1mm</w:t>
      </w:r>
      <w:r w:rsidRPr="0032625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 per biopsy </w:t>
      </w:r>
      <w:r w:rsidR="00FE5556" w:rsidRPr="00326253">
        <w:rPr>
          <w:rFonts w:ascii="Arial" w:hAnsi="Arial" w:cs="Arial"/>
          <w:sz w:val="24"/>
          <w:szCs w:val="24"/>
          <w:lang w:val="en-US"/>
        </w:rPr>
        <w:fldChar w:fldCharType="begin"/>
      </w:r>
      <w:r w:rsidRPr="00326253">
        <w:rPr>
          <w:rFonts w:ascii="Arial" w:hAnsi="Arial" w:cs="Arial"/>
          <w:sz w:val="24"/>
          <w:szCs w:val="24"/>
          <w:lang w:val="en-US"/>
        </w:rPr>
        <w:instrText>ADDIN RW.CITE{{205 ten Hacken,N.H. 1998}}</w:instrText>
      </w:r>
      <w:r w:rsidR="00FE5556" w:rsidRPr="00326253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326253">
        <w:rPr>
          <w:rFonts w:ascii="Arial" w:hAnsi="Arial" w:cs="Arial"/>
          <w:sz w:val="24"/>
          <w:szCs w:val="24"/>
          <w:lang w:val="en-US"/>
        </w:rPr>
        <w:t>(2)</w:t>
      </w:r>
      <w:r w:rsidR="00FE5556" w:rsidRPr="00326253">
        <w:rPr>
          <w:rFonts w:ascii="Arial" w:hAnsi="Arial" w:cs="Arial"/>
          <w:sz w:val="24"/>
          <w:szCs w:val="24"/>
          <w:lang w:val="en-US"/>
        </w:rPr>
        <w:fldChar w:fldCharType="end"/>
      </w:r>
      <w:r w:rsidRPr="00326253">
        <w:rPr>
          <w:rFonts w:ascii="Arial" w:hAnsi="Arial" w:cs="Arial"/>
          <w:sz w:val="24"/>
          <w:szCs w:val="24"/>
          <w:lang w:val="en-US"/>
        </w:rPr>
        <w:t>. Double positive blood vessels stained for CD31 and E-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selectin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were also scored in the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submucosal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area, 100 µm under the basement membrane and in the whole biopsy.</w:t>
      </w:r>
      <w:r w:rsidRPr="00326253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636AEE" w:rsidRPr="00326253" w:rsidRDefault="008425BB" w:rsidP="00713563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26253">
        <w:rPr>
          <w:rFonts w:ascii="Arial" w:hAnsi="Arial" w:cs="Arial"/>
          <w:b/>
          <w:sz w:val="24"/>
          <w:szCs w:val="24"/>
          <w:lang w:val="en-US"/>
        </w:rPr>
        <w:lastRenderedPageBreak/>
        <w:t>TABLE E1</w:t>
      </w:r>
      <w:r w:rsidR="00636AEE" w:rsidRPr="00326253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="00636AEE" w:rsidRPr="00326253">
        <w:rPr>
          <w:rFonts w:ascii="Arial" w:hAnsi="Arial" w:cs="Arial"/>
          <w:b/>
          <w:sz w:val="24"/>
          <w:szCs w:val="24"/>
          <w:lang w:val="en-US"/>
        </w:rPr>
        <w:t xml:space="preserve"> VALUES BEFORE AND AFTER ACUTE SMOKING IN YOUNG AND OLD GROUPS</w:t>
      </w:r>
    </w:p>
    <w:p w:rsidR="00636AEE" w:rsidRPr="00326253" w:rsidRDefault="00636AEE" w:rsidP="00713563">
      <w:pPr>
        <w:rPr>
          <w:rFonts w:ascii="Arial" w:hAnsi="Arial" w:cs="Arial"/>
          <w:b/>
          <w:sz w:val="24"/>
          <w:szCs w:val="24"/>
          <w:lang w:val="en-US"/>
        </w:rPr>
      </w:pPr>
    </w:p>
    <w:p w:rsidR="00636AEE" w:rsidRPr="00326253" w:rsidRDefault="00636AEE" w:rsidP="00ED46BF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t xml:space="preserve">Neutrophil activation markers measured in blood by flow cytometry 2 hours after smoking </w:t>
      </w:r>
    </w:p>
    <w:tbl>
      <w:tblPr>
        <w:tblpPr w:leftFromText="141" w:rightFromText="141" w:vertAnchor="page" w:horzAnchor="margin" w:tblpXSpec="center" w:tblpY="3792"/>
        <w:tblW w:w="11329" w:type="dxa"/>
        <w:tblCellMar>
          <w:left w:w="70" w:type="dxa"/>
          <w:right w:w="70" w:type="dxa"/>
        </w:tblCellMar>
        <w:tblLook w:val="00A0"/>
      </w:tblPr>
      <w:tblGrid>
        <w:gridCol w:w="1608"/>
        <w:gridCol w:w="1184"/>
        <w:gridCol w:w="1249"/>
        <w:gridCol w:w="1184"/>
        <w:gridCol w:w="1184"/>
        <w:gridCol w:w="1216"/>
        <w:gridCol w:w="1215"/>
        <w:gridCol w:w="1274"/>
        <w:gridCol w:w="1215"/>
      </w:tblGrid>
      <w:tr w:rsidR="00636AEE" w:rsidRPr="00326253" w:rsidTr="00326253">
        <w:trPr>
          <w:trHeight w:val="30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48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Young (&lt;40 years)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Old (&gt;40 years)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Non-susceptible 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Susceptible </w:t>
            </w:r>
          </w:p>
        </w:tc>
        <w:tc>
          <w:tcPr>
            <w:tcW w:w="24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Healthy controls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COPD patients</w:t>
            </w:r>
          </w:p>
        </w:tc>
      </w:tr>
      <w:tr w:rsidR="00636AEE" w:rsidRPr="00326253" w:rsidTr="00326253">
        <w:trPr>
          <w:trHeight w:val="315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(n=27)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(n=20)</w:t>
            </w:r>
          </w:p>
        </w:tc>
        <w:tc>
          <w:tcPr>
            <w:tcW w:w="2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(n=24)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(n=13)</w:t>
            </w:r>
          </w:p>
        </w:tc>
      </w:tr>
      <w:tr w:rsidR="00636AEE" w:rsidRPr="00326253" w:rsidTr="00326253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After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CD11b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(72-129)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(67-129)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(76-143)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(72-209)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(87-166)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(89-198)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(62-133)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(70-157)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CD32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160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(143-184)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(133-172)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(161-195)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(135-193)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(165-205)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(165-191)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(165-184)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(143-169)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CD54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(8-12)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(7-11)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(9-16)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(8-16)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(8-17)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(8-17)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(7-13)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(6-12)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6AEE" w:rsidRPr="00326253" w:rsidRDefault="00BF7D37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val="en-US"/>
              </w:rPr>
              <w:t>CD181/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CXCR1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87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(82-138)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(61-100)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(77-157)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(73-154)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(90-151)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(87-169)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(72-124)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(66-120)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6AEE" w:rsidRPr="00326253" w:rsidRDefault="00BF7D37" w:rsidP="00BF7D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val="en-US"/>
              </w:rPr>
              <w:t>CD182/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CXCR2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(78-129)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(50-87)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(63-118)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(52-79)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(63-115)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(58-114)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(56-98)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(51-85)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A17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(14-49)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(14-70)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(19-99)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(36-130)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(27-62)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(32-104)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(17-188)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(27-127)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A27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67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(13-54)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(14-54)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(21-81)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(33-137)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(34-107)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(34-107)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(22-114)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(36-124)</w:t>
            </w:r>
          </w:p>
        </w:tc>
      </w:tr>
      <w:tr w:rsidR="00636AEE" w:rsidRPr="00326253" w:rsidTr="00326253">
        <w:trPr>
          <w:trHeight w:val="300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Eosinophils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6.1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1.3 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4.8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6.6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3.5 </w:t>
            </w:r>
          </w:p>
        </w:tc>
      </w:tr>
      <w:tr w:rsidR="00636AEE" w:rsidRPr="00326253" w:rsidTr="00326253">
        <w:trPr>
          <w:trHeight w:val="31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6AEE" w:rsidRPr="00326253" w:rsidRDefault="00636AEE" w:rsidP="00ED46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(4.7-9.3)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(1.4-3.5)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(2.9-5.9)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(0.7-3.4)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(2.4-7.7)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(1.5-4.5)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(3.3-11.1)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ED4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(1.6-5.2)</w:t>
            </w:r>
          </w:p>
        </w:tc>
      </w:tr>
    </w:tbl>
    <w:p w:rsidR="00636AEE" w:rsidRPr="00326253" w:rsidRDefault="00636AEE" w:rsidP="00713563">
      <w:pPr>
        <w:spacing w:before="240"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Values are expressed as median fluorescence intensity (MFI) with interquartile ranges (IQR) </w:t>
      </w:r>
    </w:p>
    <w:p w:rsidR="00636AEE" w:rsidRPr="00326253" w:rsidRDefault="00636AEE" w:rsidP="00713563">
      <w:pPr>
        <w:spacing w:before="240" w:after="0"/>
        <w:rPr>
          <w:rFonts w:ascii="Arial" w:hAnsi="Arial" w:cs="Arial"/>
          <w:b/>
          <w:sz w:val="24"/>
          <w:szCs w:val="24"/>
          <w:lang w:val="en-US"/>
        </w:rPr>
      </w:pPr>
    </w:p>
    <w:p w:rsidR="00636AEE" w:rsidRPr="00326253" w:rsidRDefault="00636AEE">
      <w:pPr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636AEE" w:rsidRPr="00326253" w:rsidRDefault="00636AEE" w:rsidP="00713563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lastRenderedPageBreak/>
        <w:t>B. Cytokines measured in blood 2 hours after smoking</w:t>
      </w:r>
    </w:p>
    <w:tbl>
      <w:tblPr>
        <w:tblW w:w="11289" w:type="dxa"/>
        <w:tblInd w:w="-1075" w:type="dxa"/>
        <w:tblCellMar>
          <w:left w:w="70" w:type="dxa"/>
          <w:right w:w="70" w:type="dxa"/>
        </w:tblCellMar>
        <w:tblLook w:val="00A0"/>
      </w:tblPr>
      <w:tblGrid>
        <w:gridCol w:w="1041"/>
        <w:gridCol w:w="1265"/>
        <w:gridCol w:w="1265"/>
        <w:gridCol w:w="1329"/>
        <w:gridCol w:w="1381"/>
        <w:gridCol w:w="1221"/>
        <w:gridCol w:w="1283"/>
        <w:gridCol w:w="1221"/>
        <w:gridCol w:w="1283"/>
      </w:tblGrid>
      <w:tr w:rsidR="00636AEE" w:rsidRPr="00326253" w:rsidTr="00326253">
        <w:trPr>
          <w:trHeight w:val="300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Young (&lt;40 years)</w:t>
            </w: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Old (&gt;40 years)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Non-susceptible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Susceptible </w:t>
            </w:r>
          </w:p>
        </w:tc>
        <w:tc>
          <w:tcPr>
            <w:tcW w:w="25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Healthy controls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COPD patients</w:t>
            </w:r>
          </w:p>
        </w:tc>
      </w:tr>
      <w:tr w:rsidR="00636AEE" w:rsidRPr="00326253" w:rsidTr="00326253">
        <w:trPr>
          <w:trHeight w:val="315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(n=29)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(n=21)</w:t>
            </w:r>
          </w:p>
        </w:tc>
        <w:tc>
          <w:tcPr>
            <w:tcW w:w="2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(n=27)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(n=13)</w:t>
            </w:r>
          </w:p>
        </w:tc>
      </w:tr>
      <w:tr w:rsidR="00636AEE" w:rsidRPr="00326253" w:rsidTr="00326253">
        <w:trPr>
          <w:trHeight w:val="315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After</w:t>
            </w:r>
          </w:p>
        </w:tc>
      </w:tr>
      <w:tr w:rsidR="00636AEE" w:rsidRPr="00326253" w:rsidTr="00326253">
        <w:trPr>
          <w:trHeight w:val="315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IL-1β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0.13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(0.13-0.13)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(0.13-0.13)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(0.13-0.13)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(0.13-0.13)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0.94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0.87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1.62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1.51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2.26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1.77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2.25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2.41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(0.13-1.45)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(0.13-1.38)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(1.12-2.38)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(1.78-4.60)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(1.40-3.65)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(1.19-4.46)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(1.31-4.70)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IL-8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6.16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5.33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6.16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5.15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6.08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5.78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8.07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7.87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(4.91-7.47)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(4.03-6.69)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(4.62-7.70)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(3.86-7.64)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(4.46-9.10)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(3.88-8.02)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(7.2-10.12)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(6.27-10.35)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GM-CSF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(0.13-0.58)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(0.13-1.01)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(0.13-0.68)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(0.13-0.68)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(0.13-0.13)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TNFα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5.43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5.68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5.61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5.37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5.68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5.06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5.95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5.57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(4.20-7.12)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(4.35-6.71)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(3.88-6.97)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(3.68-5.97)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(4.22-8.00)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(3.92-6.77)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(2.63-9.10)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(3.16-8.75)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IFNγ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3.76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4.29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7.07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6.08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3.40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4.16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2.22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2.98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(2.80-6.77)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(2.33-6.59)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(1.02-9.53)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(3.46-9.43)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(1.59-9.68)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(1.59-6.48)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(1.44-3.95)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(1.74-6.76)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IL-2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1.10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1.84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1.84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1.84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0.27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0.47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0.79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0.25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(0.27-1.30)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(0.27-2.80)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(0.47-4.42)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(0.83-3.76)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(0.13-1.95)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(0.13-1.42)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(0.13-1.44)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(0.15-0.90)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0.35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(0.13-4.54)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(0.13-1.72)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(0.13-1.72)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(0.13-1.72)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(0.13-1.72)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(0.13-0.35)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(0.13-4.48)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(0.13-4.54)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IL-5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0.18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0.18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0.24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0.26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0.13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0.24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(0.13-0.39)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(0.13-0.36)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(0.13-0.49)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(0.13-0.45)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(0.13-0.34)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(0.03-0.24)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(0.13-0.32)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(0.13-0.33)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4.42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7.00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7.16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3.97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4.42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2.77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7.00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(2.84-7.17)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(4.27-9.60)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(4.55-12.20)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(4.27-13.22)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(1.22-8.84)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(1.22-10.02)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(1.24-8.41)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(3.98-8.84)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IL-10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5.24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4.54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4.25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4.77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5.24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4.25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5.24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4.08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(3.30-8.84)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(2.38-8.94)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(0.13-8.60)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(0.13-12.35)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(0.13-9.85)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(0.13-8.96)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(3.85-9.66)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(0.13-5.92)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IL-12p70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1.01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1.19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1.97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1.71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1.71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1.45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0.61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1.19 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(0.19-1.87)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(0.25-1.84)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(1.23-2.98)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(0.81-2.92)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(0.80-3.33)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(0.94-2.77)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(0.19-1.22)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(0.25-1.33)</w:t>
            </w:r>
          </w:p>
        </w:tc>
      </w:tr>
      <w:tr w:rsidR="00636AEE" w:rsidRPr="00326253" w:rsidTr="00326253">
        <w:trPr>
          <w:trHeight w:val="30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IL-13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2.21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2.57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2.57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4.13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2.53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2.21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1.00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1.00 </w:t>
            </w:r>
          </w:p>
        </w:tc>
      </w:tr>
      <w:tr w:rsidR="00636AEE" w:rsidRPr="00326253" w:rsidTr="00326253">
        <w:trPr>
          <w:trHeight w:val="315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(0.46-4.60)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(1.17-6.60)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(0.84-7.02)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(1.56-6.70)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(0.13-7.60)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(0.13-7.59)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(0.55-2.39)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B6E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(0.67-2.21)</w:t>
            </w:r>
          </w:p>
        </w:tc>
      </w:tr>
    </w:tbl>
    <w:p w:rsidR="00636AEE" w:rsidRPr="00326253" w:rsidRDefault="00636AEE" w:rsidP="00713563">
      <w:pPr>
        <w:spacing w:before="240"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Values are expressed as medians with interquartile ranges (IQR) </w:t>
      </w:r>
    </w:p>
    <w:p w:rsidR="00636AEE" w:rsidRPr="00326253" w:rsidRDefault="00636AEE" w:rsidP="0071356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br w:type="page"/>
      </w:r>
      <w:r w:rsidRPr="00326253">
        <w:rPr>
          <w:rFonts w:ascii="Arial" w:hAnsi="Arial" w:cs="Arial"/>
          <w:b/>
          <w:sz w:val="24"/>
          <w:szCs w:val="24"/>
          <w:lang w:val="en-US"/>
        </w:rPr>
        <w:lastRenderedPageBreak/>
        <w:t>C. Inflammatory cells in bronchial biopsies 24 hours after smoking</w:t>
      </w:r>
    </w:p>
    <w:tbl>
      <w:tblPr>
        <w:tblpPr w:leftFromText="141" w:rightFromText="141" w:horzAnchor="margin" w:tblpXSpec="center" w:tblpY="837"/>
        <w:tblW w:w="11410" w:type="dxa"/>
        <w:tblCellMar>
          <w:left w:w="70" w:type="dxa"/>
          <w:right w:w="70" w:type="dxa"/>
        </w:tblCellMar>
        <w:tblLook w:val="00A0"/>
      </w:tblPr>
      <w:tblGrid>
        <w:gridCol w:w="1986"/>
        <w:gridCol w:w="1134"/>
        <w:gridCol w:w="1134"/>
        <w:gridCol w:w="1276"/>
        <w:gridCol w:w="1134"/>
        <w:gridCol w:w="1276"/>
        <w:gridCol w:w="1275"/>
        <w:gridCol w:w="1134"/>
        <w:gridCol w:w="1061"/>
      </w:tblGrid>
      <w:tr w:rsidR="00636AEE" w:rsidRPr="00326253" w:rsidTr="00897E22">
        <w:trPr>
          <w:trHeight w:val="345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Young (&lt;40 years)</w:t>
            </w:r>
          </w:p>
        </w:tc>
        <w:tc>
          <w:tcPr>
            <w:tcW w:w="47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Old (&gt;40 years)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Non-susceptible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Susceptible 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Healthy controls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COPD patients</w:t>
            </w:r>
          </w:p>
        </w:tc>
      </w:tr>
      <w:tr w:rsidR="00636AEE" w:rsidRPr="00326253" w:rsidTr="00897E22">
        <w:trPr>
          <w:trHeight w:val="315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(n=25)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(n=14)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(n=20)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(n=12)</w:t>
            </w:r>
          </w:p>
        </w:tc>
      </w:tr>
      <w:tr w:rsidR="00636AEE" w:rsidRPr="00326253" w:rsidTr="00897E22">
        <w:trPr>
          <w:trHeight w:val="315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After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Before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After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CD3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T-cells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33.6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23.4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14.8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18.6</w:t>
            </w:r>
          </w:p>
        </w:tc>
      </w:tr>
      <w:tr w:rsidR="00636AEE" w:rsidRPr="00326253" w:rsidTr="00897E22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(19.6-59.9)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(25.7-56.9)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(26.6-51.8)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(33.1-67.0)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(12.1-36.3)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(11.2-30.0)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(8.9-21.2)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(6.8-31.9)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CD4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T-cells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6.0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2.8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(0.4-11.5)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(3.2-19.2)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(0.5-16.8)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(0.6-11.6)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(0.0-6.8)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(0.2-10.8)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(0.0-1.9)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(0-5.2)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CD8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T-cells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34.4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33.0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32.4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14.4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11.7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14,0</w:t>
            </w:r>
          </w:p>
        </w:tc>
      </w:tr>
      <w:tr w:rsidR="00636AEE" w:rsidRPr="00326253" w:rsidTr="00897E22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(9.9-64.8)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(22.4-51.4)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(22.4-55.8)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(9.0-47.5)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>(7.6-32.4)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(8.7-43.6)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(3.7-19.8)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(3.8-25.8)</w:t>
            </w:r>
          </w:p>
        </w:tc>
      </w:tr>
      <w:tr w:rsidR="00636AEE" w:rsidRPr="00326253" w:rsidTr="00897E22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FOXP3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T-cells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0.8</w:t>
            </w:r>
          </w:p>
        </w:tc>
      </w:tr>
      <w:tr w:rsidR="00636AEE" w:rsidRPr="00326253" w:rsidTr="00897E22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(0.0-2.8)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(0.8-3.6)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(0.0-3.6)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(0.8-4.2)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(0.0-1.8)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(0.0-2.5)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(0.0-0.8)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(0.0-3.3)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CD68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 xml:space="preserve">+ 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macrophages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6.1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3.7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4.2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1.9</w:t>
            </w:r>
          </w:p>
        </w:tc>
      </w:tr>
      <w:tr w:rsidR="00636AEE" w:rsidRPr="00326253" w:rsidTr="00897E22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(1.4-10.3)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(5.5-13.4)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(2.2-12.1)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(0.9-11.6)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(0.8-10.2)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(2.0-8.6)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(2.5-7.4)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(0.0-4.1)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AA1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mast cells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3.5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2.2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1.8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2.9</w:t>
            </w:r>
          </w:p>
        </w:tc>
      </w:tr>
      <w:tr w:rsidR="00636AEE" w:rsidRPr="00326253" w:rsidTr="00897E22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(1.9-5.8)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(1.1-5.9)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(0.8-6.9)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(0.0-3.8)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(0.7-5.6)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(1.4-5.7)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(0.2-3.5)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(0.4-3.0)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EPX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eosinophils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0.0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0,0</w:t>
            </w:r>
          </w:p>
        </w:tc>
      </w:tr>
      <w:tr w:rsidR="00636AEE" w:rsidRPr="00326253" w:rsidTr="00897E22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>(0.0-0.9)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(0.0-1.3)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(0-1.0)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(0.0-1.4)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(0.0-0.5)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(0.0-2.2)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(0.0-1.9)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(0.0-2.6)</w:t>
            </w:r>
          </w:p>
        </w:tc>
      </w:tr>
      <w:tr w:rsidR="00636AEE" w:rsidRPr="00326253" w:rsidTr="00897E22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NP57 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 xml:space="preserve">+ </w:t>
            </w: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neutrophils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6.5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6.2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4.0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bCs/>
                <w:color w:val="000000"/>
                <w:sz w:val="20"/>
                <w:szCs w:val="20"/>
                <w:lang w:eastAsia="nl-N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5.7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2.9</w:t>
            </w:r>
          </w:p>
        </w:tc>
      </w:tr>
      <w:tr w:rsidR="00636AEE" w:rsidRPr="00326253" w:rsidTr="00897E22">
        <w:trPr>
          <w:trHeight w:val="3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(0.6-9.9)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(2.9-9.9)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(1.9-13.6)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(4.0-12.8)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(0.9-7.2)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(2.8-12.8)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(1.8-12.8)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897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(0.2-7.7)</w:t>
            </w:r>
          </w:p>
        </w:tc>
      </w:tr>
      <w:tr w:rsidR="00636AEE" w:rsidRPr="00326253" w:rsidTr="00AE6409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% E-selectin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2.9</w:t>
            </w:r>
          </w:p>
        </w:tc>
      </w:tr>
      <w:tr w:rsidR="00636AEE" w:rsidRPr="00326253" w:rsidTr="00AE6409">
        <w:trPr>
          <w:trHeight w:val="147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positive vessels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(0.0-3.6)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(0.0-0.0)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(0.0-6.5)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(0.0-0.0)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(0.0-0.0)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(0.0-5.9)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(0.0-1.7)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6AEE" w:rsidRPr="00326253" w:rsidRDefault="00636AEE" w:rsidP="00AE6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(0.0-7.7)</w:t>
            </w:r>
          </w:p>
        </w:tc>
      </w:tr>
    </w:tbl>
    <w:p w:rsidR="00636AEE" w:rsidRPr="00326253" w:rsidRDefault="00636AEE" w:rsidP="00AE640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nl-NL"/>
        </w:rPr>
      </w:pPr>
    </w:p>
    <w:p w:rsidR="00636AEE" w:rsidRPr="00326253" w:rsidRDefault="00636AEE" w:rsidP="00713563">
      <w:pPr>
        <w:rPr>
          <w:rFonts w:ascii="Arial" w:hAnsi="Arial" w:cs="Arial"/>
          <w:b/>
          <w:sz w:val="24"/>
          <w:szCs w:val="24"/>
          <w:lang w:val="en-US"/>
        </w:rPr>
      </w:pPr>
    </w:p>
    <w:p w:rsidR="008425BB" w:rsidRPr="00326253" w:rsidRDefault="00636AEE" w:rsidP="008425BB">
      <w:pPr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br w:type="page"/>
      </w:r>
      <w:proofErr w:type="gramStart"/>
      <w:r w:rsidR="008425BB" w:rsidRPr="00326253">
        <w:rPr>
          <w:rFonts w:ascii="Arial" w:hAnsi="Arial" w:cs="Arial"/>
          <w:b/>
          <w:sz w:val="24"/>
          <w:szCs w:val="24"/>
          <w:lang w:val="en-US"/>
        </w:rPr>
        <w:lastRenderedPageBreak/>
        <w:t>TABLE E2.</w:t>
      </w:r>
      <w:proofErr w:type="gramEnd"/>
      <w:r w:rsidR="008425BB" w:rsidRPr="00326253">
        <w:rPr>
          <w:rFonts w:ascii="Arial" w:hAnsi="Arial" w:cs="Arial"/>
          <w:b/>
          <w:sz w:val="24"/>
          <w:szCs w:val="24"/>
          <w:lang w:val="en-US"/>
        </w:rPr>
        <w:t xml:space="preserve"> ACUTE SMOKING EFFECTS IN OLD GROUPS</w:t>
      </w:r>
    </w:p>
    <w:p w:rsidR="008425BB" w:rsidRPr="00326253" w:rsidRDefault="008425BB" w:rsidP="008425BB">
      <w:pPr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t>A. Neutrophil activation markers measured in blood by flow cytometry 2 hours after smoking</w:t>
      </w:r>
    </w:p>
    <w:tbl>
      <w:tblPr>
        <w:tblW w:w="9256" w:type="dxa"/>
        <w:tblInd w:w="93" w:type="dxa"/>
        <w:tblLook w:val="0000"/>
      </w:tblPr>
      <w:tblGrid>
        <w:gridCol w:w="3564"/>
        <w:gridCol w:w="2111"/>
        <w:gridCol w:w="2244"/>
        <w:gridCol w:w="1337"/>
      </w:tblGrid>
      <w:tr w:rsidR="008425BB" w:rsidRPr="00326253" w:rsidTr="00326253">
        <w:trPr>
          <w:trHeight w:val="31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with smoking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Healthy controls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COPD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p-value† 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(n=24)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(n=13)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CD16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  <w:t xml:space="preserve">+ 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Neutrophils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3.4 (0.4-10.2)*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3.4 (0.3-6.4)*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CD16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Eosinophils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-1.8 (-3.0;-1.1)*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-2.9 (-5.1;-1.6)*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0.049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CD11b (Mac-1)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-6.5 (-19.8;-1.3)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8.4 (-53.5;82.5)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CD32 (</w:t>
            </w:r>
            <w:proofErr w:type="spellStart"/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FcγRII</w:t>
            </w:r>
            <w:proofErr w:type="spellEnd"/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-6.5 (-19.8;-1.3)*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-12.4 (-20.8;-2.5)*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CD54 (Icam-1)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-0.8 (-2.2;0.4)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-1.0 (-1.9;-0.1)*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CD181/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CXCR1 (IL-8 receptor)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-3.2 (-21.6;32.9)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-6.7 (-27.9;5.4)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CD182/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CXCR2 (IL-8 receptor)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-2.0 (-16.6;24.1)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-3.9 (-19.6;2.2)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A17 (active </w:t>
            </w:r>
            <w:proofErr w:type="spellStart"/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FcγRII</w:t>
            </w:r>
            <w:proofErr w:type="spellEnd"/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 (-8.5;30.8)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7.0 (-13.1;32.9)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A27 (active </w:t>
            </w:r>
            <w:proofErr w:type="spellStart"/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FcγRII</w:t>
            </w:r>
            <w:proofErr w:type="spellEnd"/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0.6 (-15.2;16.6)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9.1 (-3.0;47.9)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</w:p>
        </w:tc>
      </w:tr>
    </w:tbl>
    <w:p w:rsidR="008425BB" w:rsidRPr="00326253" w:rsidRDefault="008425BB" w:rsidP="0032625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425BB" w:rsidRPr="00326253" w:rsidRDefault="008425BB" w:rsidP="0032625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>Values are expressed as median change (T</w:t>
      </w:r>
      <w:r w:rsidRPr="00326253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326253">
        <w:rPr>
          <w:rFonts w:ascii="Arial" w:hAnsi="Arial" w:cs="Arial"/>
          <w:sz w:val="24"/>
          <w:szCs w:val="24"/>
          <w:lang w:val="en-US"/>
        </w:rPr>
        <w:t>-T</w:t>
      </w:r>
      <w:r w:rsidRPr="00326253">
        <w:rPr>
          <w:rFonts w:ascii="Arial" w:hAnsi="Arial" w:cs="Arial"/>
          <w:sz w:val="24"/>
          <w:szCs w:val="24"/>
          <w:vertAlign w:val="subscript"/>
          <w:lang w:val="en-US"/>
        </w:rPr>
        <w:t>0</w:t>
      </w:r>
      <w:r w:rsidRPr="00326253">
        <w:rPr>
          <w:rFonts w:ascii="Arial" w:hAnsi="Arial" w:cs="Arial"/>
          <w:sz w:val="24"/>
          <w:szCs w:val="24"/>
          <w:lang w:val="en-US"/>
        </w:rPr>
        <w:t>) in fluorescence intensity (MFI) with interquartile ranges (IQR), two hours after smoking. * Significant response to cigarette smoke within the group (Wilcoxon signed-rank tests, p&lt;0.05). †</w:t>
      </w:r>
      <w:r w:rsidRPr="0032625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gramStart"/>
      <w:r w:rsidRPr="00326253">
        <w:rPr>
          <w:rFonts w:ascii="Arial" w:hAnsi="Arial" w:cs="Arial"/>
          <w:sz w:val="24"/>
          <w:szCs w:val="24"/>
          <w:lang w:val="en-US"/>
        </w:rPr>
        <w:t>p-values</w:t>
      </w:r>
      <w:proofErr w:type="gramEnd"/>
      <w:r w:rsidRPr="00326253">
        <w:rPr>
          <w:rFonts w:ascii="Arial" w:hAnsi="Arial" w:cs="Arial"/>
          <w:sz w:val="24"/>
          <w:szCs w:val="24"/>
          <w:lang w:val="en-US"/>
        </w:rPr>
        <w:t xml:space="preserve"> for differences in responses to cigarette smoke between susceptible and non-susceptible subjects (Mann-Whitney U tests, NS = not significant).  </w:t>
      </w:r>
    </w:p>
    <w:p w:rsidR="008425BB" w:rsidRPr="00326253" w:rsidRDefault="008425BB" w:rsidP="00326253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8425BB" w:rsidRPr="00326253" w:rsidRDefault="008425BB" w:rsidP="00326253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lastRenderedPageBreak/>
        <w:t>B. Cytokines measured in blood 2 hours after smoking</w:t>
      </w:r>
    </w:p>
    <w:tbl>
      <w:tblPr>
        <w:tblW w:w="6926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1221"/>
        <w:gridCol w:w="2222"/>
        <w:gridCol w:w="2222"/>
        <w:gridCol w:w="1261"/>
      </w:tblGrid>
      <w:tr w:rsidR="008425BB" w:rsidRPr="00326253" w:rsidTr="00326253">
        <w:trPr>
          <w:trHeight w:val="36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5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  <w:t>Change with smoking</w:t>
            </w: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nl-N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Healthy controls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COPD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p-value† </w:t>
            </w:r>
          </w:p>
        </w:tc>
      </w:tr>
      <w:tr w:rsidR="008425BB" w:rsidRPr="00326253" w:rsidTr="00326253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(n=27)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(n=13)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IL-1β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(0.00;0.00)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(0.00;0.00)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IL-6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-0.48 (-1.87;0.19)*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0.10 (-0.49;0.95)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0.081</w:t>
            </w: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-0.62 (-1.34;0.21)*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0.37 (-1.09;2.24)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0.091</w:t>
            </w: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GM-CSF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(0.00;0.00)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(0.00;0.00)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TNFα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-0.71 (-1.20;0.00)*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-0.45 (-0.82;0.14)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IFNγ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-0.37 (-1.58;0.58)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0.50 (0.00;1.12)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(0.00;0.84)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(-0.70;0.07)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(0.00;0.00)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(-1.24;0.00)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IL-5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(-0.10;0.09)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(0.00;0.06)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(-0.28;1.30)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1.21 (-0.85;4.58)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IL-10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(-2.98;0.00)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-3.32 (-4.13;0.00)*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IL-12p70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(-0.26;0.00)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(-0.08;0.20)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IL-13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(-1.58;0.87)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0.00 (-1.15;1.65)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</w:tbl>
    <w:p w:rsidR="008425BB" w:rsidRPr="00326253" w:rsidRDefault="008425BB" w:rsidP="008425B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425BB" w:rsidRPr="00326253" w:rsidRDefault="008425BB" w:rsidP="0032625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>Values are expressed as median change (T</w:t>
      </w:r>
      <w:r w:rsidRPr="00326253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326253">
        <w:rPr>
          <w:rFonts w:ascii="Arial" w:hAnsi="Arial" w:cs="Arial"/>
          <w:sz w:val="24"/>
          <w:szCs w:val="24"/>
          <w:lang w:val="en-US"/>
        </w:rPr>
        <w:t>-T</w:t>
      </w:r>
      <w:r w:rsidRPr="00326253">
        <w:rPr>
          <w:rFonts w:ascii="Arial" w:hAnsi="Arial" w:cs="Arial"/>
          <w:sz w:val="24"/>
          <w:szCs w:val="24"/>
          <w:vertAlign w:val="subscript"/>
          <w:lang w:val="en-US"/>
        </w:rPr>
        <w:t>0</w:t>
      </w:r>
      <w:r w:rsidRPr="00326253">
        <w:rPr>
          <w:rFonts w:ascii="Arial" w:hAnsi="Arial" w:cs="Arial"/>
          <w:sz w:val="24"/>
          <w:szCs w:val="24"/>
          <w:lang w:val="en-US"/>
        </w:rPr>
        <w:t xml:space="preserve">) in cytokine concentration (pg/ml) with </w:t>
      </w:r>
      <w:proofErr w:type="spellStart"/>
      <w:r w:rsidRPr="00326253">
        <w:rPr>
          <w:rFonts w:ascii="Arial" w:hAnsi="Arial" w:cs="Arial"/>
          <w:sz w:val="24"/>
          <w:szCs w:val="24"/>
          <w:lang w:val="en-US"/>
        </w:rPr>
        <w:t>interquartile</w:t>
      </w:r>
      <w:proofErr w:type="spellEnd"/>
      <w:r w:rsidRPr="00326253">
        <w:rPr>
          <w:rFonts w:ascii="Arial" w:hAnsi="Arial" w:cs="Arial"/>
          <w:sz w:val="24"/>
          <w:szCs w:val="24"/>
          <w:lang w:val="en-US"/>
        </w:rPr>
        <w:t xml:space="preserve"> ranges (IQR), two hours after smoking. * Significant response to cigarette smoke within the group (Wilcoxon signed-rank tests, p&lt;0.05). †</w:t>
      </w:r>
      <w:r w:rsidRPr="0032625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gramStart"/>
      <w:r w:rsidRPr="00326253">
        <w:rPr>
          <w:rFonts w:ascii="Arial" w:hAnsi="Arial" w:cs="Arial"/>
          <w:sz w:val="24"/>
          <w:szCs w:val="24"/>
          <w:lang w:val="en-US"/>
        </w:rPr>
        <w:t>p-values</w:t>
      </w:r>
      <w:proofErr w:type="gramEnd"/>
      <w:r w:rsidRPr="00326253">
        <w:rPr>
          <w:rFonts w:ascii="Arial" w:hAnsi="Arial" w:cs="Arial"/>
          <w:sz w:val="24"/>
          <w:szCs w:val="24"/>
          <w:lang w:val="en-US"/>
        </w:rPr>
        <w:t xml:space="preserve"> for differences in responses to cigarette smoke between susceptible and non-susceptible subjects (Mann-Whitney U tests, NS = not significant).  </w:t>
      </w:r>
    </w:p>
    <w:p w:rsidR="008425BB" w:rsidRPr="00326253" w:rsidRDefault="008425BB" w:rsidP="008425BB">
      <w:pPr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8425BB" w:rsidRPr="00326253" w:rsidRDefault="008425BB" w:rsidP="00326253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lastRenderedPageBreak/>
        <w:t>C. Inflammatory cells in bronchial biopsies 24 hours after smoking</w:t>
      </w:r>
    </w:p>
    <w:tbl>
      <w:tblPr>
        <w:tblW w:w="8246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2995"/>
        <w:gridCol w:w="1995"/>
        <w:gridCol w:w="1995"/>
        <w:gridCol w:w="1261"/>
      </w:tblGrid>
      <w:tr w:rsidR="008425BB" w:rsidRPr="00326253" w:rsidTr="00326253">
        <w:trPr>
          <w:trHeight w:val="360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52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val="en-US" w:eastAsia="nl-NL"/>
              </w:rPr>
              <w:t>Change with smoking</w:t>
            </w:r>
          </w:p>
        </w:tc>
      </w:tr>
      <w:tr w:rsidR="008425BB" w:rsidRPr="00326253" w:rsidTr="00326253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nl-N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Healthy controls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COPD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p-value† </w:t>
            </w:r>
          </w:p>
        </w:tc>
      </w:tr>
      <w:tr w:rsidR="008425BB" w:rsidRPr="00326253" w:rsidTr="00326253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(n=20)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(n=12)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</w:tr>
      <w:tr w:rsidR="008425BB" w:rsidRPr="00326253" w:rsidTr="00326253">
        <w:trPr>
          <w:trHeight w:val="300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Submucosal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8425BB" w:rsidRPr="00326253" w:rsidTr="00326253">
        <w:trPr>
          <w:trHeight w:val="345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CD3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 xml:space="preserve"> T-cells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-0.6 (-15.2;10.7)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-0.6 (-11.5;19.6)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45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CD4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 xml:space="preserve"> T-cells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1.2 (-3.5;5.2)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1.3 (-0.7;3.2)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45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CD8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 xml:space="preserve"> T-cells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7.9 (-3.1;19.8)*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1.7 (-4.3;13.9)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45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FOXP3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 xml:space="preserve"> T-cells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 (-0.7;0.9)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 (0.0;2.6)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45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CD68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nl-NL"/>
              </w:rPr>
              <w:t xml:space="preserve">+ 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macrophages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0.1 (-8.3;5.6)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-1.3 (-5.6;0.8)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60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AA1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 xml:space="preserve"> mast cells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0.7 (-2.7;3.1)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 (-1.5;2.4)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45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EPX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nl-NL"/>
              </w:rPr>
              <w:t>+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 xml:space="preserve"> eosinophils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0.41 (0.0;1.6)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 (-1.5;2.3)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  <w:tr w:rsidR="008425BB" w:rsidRPr="00326253" w:rsidTr="00326253">
        <w:trPr>
          <w:trHeight w:val="345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 xml:space="preserve">NP57 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nl-NL"/>
              </w:rPr>
              <w:t xml:space="preserve">+ </w:t>
            </w: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neutrophils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2.4 (-0.5;7.4)*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-2.4 (-7.3;1.7)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0.027</w:t>
            </w:r>
          </w:p>
        </w:tc>
      </w:tr>
      <w:tr w:rsidR="008425BB" w:rsidRPr="00326253" w:rsidTr="00326253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% E-selectin pos. vessels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0.0 (0.0-1.1)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1.2 (0.0;3.4)*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25BB" w:rsidRPr="00326253" w:rsidRDefault="008425BB" w:rsidP="0032625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326253">
              <w:rPr>
                <w:rFonts w:ascii="Arial" w:hAnsi="Arial" w:cs="Arial"/>
                <w:sz w:val="24"/>
                <w:szCs w:val="24"/>
                <w:lang w:eastAsia="nl-NL"/>
              </w:rPr>
              <w:t>NS</w:t>
            </w:r>
          </w:p>
        </w:tc>
      </w:tr>
    </w:tbl>
    <w:p w:rsidR="008425BB" w:rsidRPr="00326253" w:rsidRDefault="008425BB" w:rsidP="008425B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425BB" w:rsidRPr="00326253" w:rsidRDefault="008425BB" w:rsidP="0032625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t xml:space="preserve">Values are expressed as median </w:t>
      </w:r>
      <w:proofErr w:type="gramStart"/>
      <w:r w:rsidRPr="00326253">
        <w:rPr>
          <w:rFonts w:ascii="Arial" w:hAnsi="Arial" w:cs="Arial"/>
          <w:sz w:val="24"/>
          <w:szCs w:val="24"/>
          <w:lang w:val="en-US"/>
        </w:rPr>
        <w:t>change(</w:t>
      </w:r>
      <w:proofErr w:type="gramEnd"/>
      <w:r w:rsidRPr="00326253">
        <w:rPr>
          <w:rFonts w:ascii="Arial" w:hAnsi="Arial" w:cs="Arial"/>
          <w:sz w:val="24"/>
          <w:szCs w:val="24"/>
          <w:lang w:val="en-US"/>
        </w:rPr>
        <w:t>T</w:t>
      </w:r>
      <w:r w:rsidRPr="00326253">
        <w:rPr>
          <w:rFonts w:ascii="Arial" w:hAnsi="Arial" w:cs="Arial"/>
          <w:sz w:val="24"/>
          <w:szCs w:val="24"/>
          <w:vertAlign w:val="subscript"/>
          <w:lang w:val="en-US"/>
        </w:rPr>
        <w:t>24</w:t>
      </w:r>
      <w:r w:rsidRPr="00326253">
        <w:rPr>
          <w:rFonts w:ascii="Arial" w:hAnsi="Arial" w:cs="Arial"/>
          <w:sz w:val="24"/>
          <w:szCs w:val="24"/>
          <w:lang w:val="en-US"/>
        </w:rPr>
        <w:t>-T</w:t>
      </w:r>
      <w:r w:rsidRPr="00326253">
        <w:rPr>
          <w:rFonts w:ascii="Arial" w:hAnsi="Arial" w:cs="Arial"/>
          <w:sz w:val="24"/>
          <w:szCs w:val="24"/>
          <w:vertAlign w:val="subscript"/>
          <w:lang w:val="en-US"/>
        </w:rPr>
        <w:t>0</w:t>
      </w:r>
      <w:r w:rsidRPr="00326253">
        <w:rPr>
          <w:rFonts w:ascii="Arial" w:hAnsi="Arial" w:cs="Arial"/>
          <w:sz w:val="24"/>
          <w:szCs w:val="24"/>
          <w:lang w:val="en-US"/>
        </w:rPr>
        <w:t>) in cell counts with interquartile ranges (IQR), 24 hours after smoking. Inflammatory cells are expressed as cell counts / 0.1mm</w:t>
      </w:r>
      <w:r w:rsidRPr="0032625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26253">
        <w:rPr>
          <w:rFonts w:ascii="Arial" w:hAnsi="Arial" w:cs="Arial"/>
          <w:sz w:val="24"/>
          <w:szCs w:val="24"/>
          <w:lang w:val="en-US"/>
        </w:rPr>
        <w:t>. * Significant response to cigarette smoke within the group (Wilcoxon signed-rank tests, p&lt;0.05). †</w:t>
      </w:r>
      <w:r w:rsidRPr="0032625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gramStart"/>
      <w:r w:rsidRPr="00326253">
        <w:rPr>
          <w:rFonts w:ascii="Arial" w:hAnsi="Arial" w:cs="Arial"/>
          <w:sz w:val="24"/>
          <w:szCs w:val="24"/>
          <w:lang w:val="en-US"/>
        </w:rPr>
        <w:t>p-values</w:t>
      </w:r>
      <w:proofErr w:type="gramEnd"/>
      <w:r w:rsidRPr="00326253">
        <w:rPr>
          <w:rFonts w:ascii="Arial" w:hAnsi="Arial" w:cs="Arial"/>
          <w:sz w:val="24"/>
          <w:szCs w:val="24"/>
          <w:lang w:val="en-US"/>
        </w:rPr>
        <w:t xml:space="preserve"> for differences in responses to cigarette smoke between susceptible and non-susceptible subjects (Mann-Whitney U tests, NS = not significant).  </w:t>
      </w:r>
    </w:p>
    <w:p w:rsidR="008425BB" w:rsidRPr="00326253" w:rsidRDefault="008425BB" w:rsidP="008425BB">
      <w:pPr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636AEE" w:rsidRPr="00326253" w:rsidRDefault="00636AEE" w:rsidP="00B2791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b/>
          <w:sz w:val="24"/>
          <w:szCs w:val="24"/>
          <w:lang w:val="en-US"/>
        </w:rPr>
        <w:lastRenderedPageBreak/>
        <w:t>REFERENCES</w:t>
      </w:r>
    </w:p>
    <w:p w:rsidR="00636AEE" w:rsidRPr="00326253" w:rsidRDefault="00FE5556">
      <w:pPr>
        <w:pStyle w:val="NormalWeb"/>
        <w:rPr>
          <w:rFonts w:ascii="Arial" w:hAnsi="Arial" w:cs="Arial"/>
          <w:bCs/>
          <w:lang w:val="en-US"/>
        </w:rPr>
      </w:pPr>
      <w:r w:rsidRPr="00FE5556">
        <w:rPr>
          <w:rFonts w:ascii="Arial" w:hAnsi="Arial" w:cs="Arial"/>
          <w:lang w:val="en-US"/>
        </w:rPr>
        <w:fldChar w:fldCharType="begin"/>
      </w:r>
      <w:r w:rsidR="00636AEE" w:rsidRPr="00326253">
        <w:rPr>
          <w:rFonts w:ascii="Arial" w:hAnsi="Arial" w:cs="Arial"/>
          <w:lang w:val="en-US"/>
        </w:rPr>
        <w:instrText>ADDIN RW.BIB</w:instrText>
      </w:r>
      <w:r w:rsidRPr="00FE5556">
        <w:rPr>
          <w:rFonts w:ascii="Arial" w:hAnsi="Arial" w:cs="Arial"/>
          <w:lang w:val="en-US"/>
        </w:rPr>
        <w:fldChar w:fldCharType="separate"/>
      </w:r>
      <w:r w:rsidR="00636AEE" w:rsidRPr="00326253">
        <w:rPr>
          <w:rFonts w:ascii="Arial" w:hAnsi="Arial" w:cs="Arial"/>
          <w:bCs/>
          <w:lang w:val="en-US"/>
        </w:rPr>
        <w:t xml:space="preserve">(1) Koenderman L, Kanters D, Maesen B, Raaijmakers J, Lammers JW, de Kruif J, Logtenberg T. Monitoring of neutrophil priming in whole blood by antibodies isolated from a synthetic phage antibody library. </w:t>
      </w:r>
      <w:r w:rsidR="00636AEE" w:rsidRPr="00326253">
        <w:rPr>
          <w:rFonts w:ascii="Arial" w:hAnsi="Arial" w:cs="Arial"/>
          <w:bCs/>
          <w:i/>
          <w:iCs/>
          <w:lang w:val="en-US"/>
        </w:rPr>
        <w:t xml:space="preserve">J Leukoc Biol </w:t>
      </w:r>
      <w:r w:rsidR="00636AEE" w:rsidRPr="00326253">
        <w:rPr>
          <w:rFonts w:ascii="Arial" w:hAnsi="Arial" w:cs="Arial"/>
          <w:bCs/>
          <w:lang w:val="en-US"/>
        </w:rPr>
        <w:t xml:space="preserve">2000;68:58-64. </w:t>
      </w:r>
    </w:p>
    <w:p w:rsidR="00636AEE" w:rsidRPr="00326253" w:rsidRDefault="00636AEE">
      <w:pPr>
        <w:pStyle w:val="NormalWeb"/>
        <w:rPr>
          <w:rFonts w:ascii="Arial" w:hAnsi="Arial" w:cs="Arial"/>
          <w:bCs/>
          <w:lang w:val="en-US"/>
        </w:rPr>
      </w:pPr>
      <w:r w:rsidRPr="00326253">
        <w:rPr>
          <w:rFonts w:ascii="Arial" w:hAnsi="Arial" w:cs="Arial"/>
          <w:bCs/>
          <w:lang w:val="en-US"/>
        </w:rPr>
        <w:t xml:space="preserve">(2) ten Hacken NH, Aleva RM, Oosterhoff Y, Smith M, Kraan J, Postma DS, Timens W. Submucosa 1.0 x 0.1 mm in size is sufficient to count inflammatory cell numbers in human airway biopsy specimens. </w:t>
      </w:r>
      <w:r w:rsidRPr="00326253">
        <w:rPr>
          <w:rFonts w:ascii="Arial" w:hAnsi="Arial" w:cs="Arial"/>
          <w:bCs/>
          <w:i/>
          <w:iCs/>
          <w:lang w:val="en-US"/>
        </w:rPr>
        <w:t xml:space="preserve">Mod Pathol </w:t>
      </w:r>
      <w:r w:rsidRPr="00326253">
        <w:rPr>
          <w:rFonts w:ascii="Arial" w:hAnsi="Arial" w:cs="Arial"/>
          <w:bCs/>
          <w:lang w:val="en-US"/>
        </w:rPr>
        <w:t xml:space="preserve">1998;11:292-294. </w:t>
      </w:r>
    </w:p>
    <w:p w:rsidR="00636AEE" w:rsidRPr="00326253" w:rsidRDefault="00636AEE">
      <w:pPr>
        <w:pStyle w:val="NormalWeb"/>
        <w:rPr>
          <w:rFonts w:ascii="Arial" w:hAnsi="Arial" w:cs="Arial"/>
          <w:bCs/>
          <w:lang w:val="en-US"/>
        </w:rPr>
      </w:pPr>
      <w:r w:rsidRPr="00326253">
        <w:rPr>
          <w:rFonts w:ascii="Arial" w:hAnsi="Arial" w:cs="Arial"/>
          <w:bCs/>
          <w:lang w:val="en-US"/>
        </w:rPr>
        <w:t xml:space="preserve">(3) Broekema M, ten Hacken NH, Volbeda F, Lodewijk ME, Hylkema MN, Postma DS, Timens W. Airway epithelial changes in smokers but not in ex-smokers with asthma. </w:t>
      </w:r>
      <w:r w:rsidRPr="00326253">
        <w:rPr>
          <w:rFonts w:ascii="Arial" w:hAnsi="Arial" w:cs="Arial"/>
          <w:bCs/>
          <w:i/>
          <w:iCs/>
          <w:lang w:val="en-US"/>
        </w:rPr>
        <w:t xml:space="preserve">Am J Respir Crit Care Med </w:t>
      </w:r>
      <w:r w:rsidRPr="00326253">
        <w:rPr>
          <w:rFonts w:ascii="Arial" w:hAnsi="Arial" w:cs="Arial"/>
          <w:bCs/>
          <w:lang w:val="en-US"/>
        </w:rPr>
        <w:t xml:space="preserve">2009;180:1170-1178. </w:t>
      </w:r>
    </w:p>
    <w:p w:rsidR="00636AEE" w:rsidRPr="00326253" w:rsidRDefault="00636AEE">
      <w:pPr>
        <w:pStyle w:val="NormalWeb"/>
        <w:rPr>
          <w:rFonts w:ascii="Arial" w:hAnsi="Arial" w:cs="Arial"/>
          <w:bCs/>
        </w:rPr>
      </w:pPr>
      <w:r w:rsidRPr="00326253">
        <w:rPr>
          <w:rFonts w:ascii="Arial" w:hAnsi="Arial" w:cs="Arial"/>
          <w:bCs/>
          <w:lang w:val="en-US"/>
        </w:rPr>
        <w:t xml:space="preserve">(4) Broekema M, Timens W, Vonk JM, Volbeda F, Lodewijk ME, Hylkema MN, Ten Hacken NH, Postma DS. Persisting remodeling and less airway wall eosinophil activation in complete remission of asthma. </w:t>
      </w:r>
      <w:r w:rsidRPr="00326253">
        <w:rPr>
          <w:rFonts w:ascii="Arial" w:hAnsi="Arial" w:cs="Arial"/>
          <w:bCs/>
          <w:i/>
          <w:iCs/>
        </w:rPr>
        <w:t xml:space="preserve">Am J Respir Crit Care Med </w:t>
      </w:r>
      <w:r w:rsidRPr="00326253">
        <w:rPr>
          <w:rFonts w:ascii="Arial" w:hAnsi="Arial" w:cs="Arial"/>
          <w:bCs/>
        </w:rPr>
        <w:t xml:space="preserve">2011;183:310-316. </w:t>
      </w:r>
    </w:p>
    <w:p w:rsidR="00636AEE" w:rsidRPr="00326253" w:rsidRDefault="00FE5556" w:rsidP="00713563">
      <w:pPr>
        <w:rPr>
          <w:rFonts w:ascii="Arial" w:hAnsi="Arial" w:cs="Arial"/>
          <w:b/>
          <w:sz w:val="24"/>
          <w:szCs w:val="24"/>
          <w:lang w:val="en-US"/>
        </w:rPr>
      </w:pPr>
      <w:r w:rsidRPr="00326253">
        <w:rPr>
          <w:rFonts w:ascii="Arial" w:hAnsi="Arial" w:cs="Arial"/>
          <w:sz w:val="24"/>
          <w:szCs w:val="24"/>
          <w:lang w:val="en-US"/>
        </w:rPr>
        <w:fldChar w:fldCharType="end"/>
      </w:r>
    </w:p>
    <w:sectPr w:rsidR="00636AEE" w:rsidRPr="00326253" w:rsidSect="00470CCF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36F3"/>
    <w:multiLevelType w:val="hybridMultilevel"/>
    <w:tmpl w:val="3640B6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Hoonhorst">
    <w15:presenceInfo w15:providerId="Windows Live" w15:userId="7608e61a89143f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oNotTrackFormatting/>
  <w:defaultTabStop w:val="708"/>
  <w:hyphenationZone w:val="425"/>
  <w:doNotHyphenateCaps/>
  <w:characterSpacingControl w:val="doNotCompress"/>
  <w:saveInvalidXml/>
  <w:doNotDemarcateInvalidXml/>
  <w:compat/>
  <w:rsids>
    <w:rsidRoot w:val="00241507"/>
    <w:rsid w:val="000034A9"/>
    <w:rsid w:val="00005283"/>
    <w:rsid w:val="00011E5B"/>
    <w:rsid w:val="0001352F"/>
    <w:rsid w:val="00016A3B"/>
    <w:rsid w:val="000307E2"/>
    <w:rsid w:val="000339DE"/>
    <w:rsid w:val="0004247A"/>
    <w:rsid w:val="0004247F"/>
    <w:rsid w:val="00060940"/>
    <w:rsid w:val="00060BB1"/>
    <w:rsid w:val="00071B0B"/>
    <w:rsid w:val="0007547F"/>
    <w:rsid w:val="00075B11"/>
    <w:rsid w:val="0008237E"/>
    <w:rsid w:val="00082623"/>
    <w:rsid w:val="00085775"/>
    <w:rsid w:val="00087D62"/>
    <w:rsid w:val="00093C73"/>
    <w:rsid w:val="00093D04"/>
    <w:rsid w:val="00094A89"/>
    <w:rsid w:val="000A2D62"/>
    <w:rsid w:val="000A45D9"/>
    <w:rsid w:val="000A75A1"/>
    <w:rsid w:val="000C7E91"/>
    <w:rsid w:val="000D3BFC"/>
    <w:rsid w:val="000F7AEF"/>
    <w:rsid w:val="001138D7"/>
    <w:rsid w:val="00116FB0"/>
    <w:rsid w:val="00122191"/>
    <w:rsid w:val="00124C76"/>
    <w:rsid w:val="001258EB"/>
    <w:rsid w:val="00135521"/>
    <w:rsid w:val="00135C06"/>
    <w:rsid w:val="0015093F"/>
    <w:rsid w:val="0015429C"/>
    <w:rsid w:val="00154A80"/>
    <w:rsid w:val="00155A0E"/>
    <w:rsid w:val="001662F6"/>
    <w:rsid w:val="00167EA3"/>
    <w:rsid w:val="00182292"/>
    <w:rsid w:val="00186E56"/>
    <w:rsid w:val="00192625"/>
    <w:rsid w:val="00195E2F"/>
    <w:rsid w:val="001A77F3"/>
    <w:rsid w:val="001B2E05"/>
    <w:rsid w:val="001B6553"/>
    <w:rsid w:val="001B7073"/>
    <w:rsid w:val="001C3B0B"/>
    <w:rsid w:val="001D11D5"/>
    <w:rsid w:val="001E0C07"/>
    <w:rsid w:val="001E0F95"/>
    <w:rsid w:val="001E4B48"/>
    <w:rsid w:val="001E7C6E"/>
    <w:rsid w:val="001F1C9F"/>
    <w:rsid w:val="00211055"/>
    <w:rsid w:val="00212151"/>
    <w:rsid w:val="00215443"/>
    <w:rsid w:val="00217712"/>
    <w:rsid w:val="0022001C"/>
    <w:rsid w:val="002216CD"/>
    <w:rsid w:val="002220B3"/>
    <w:rsid w:val="00222DA8"/>
    <w:rsid w:val="00222F6C"/>
    <w:rsid w:val="00232C72"/>
    <w:rsid w:val="00236796"/>
    <w:rsid w:val="002373FE"/>
    <w:rsid w:val="00237A9F"/>
    <w:rsid w:val="00240AFF"/>
    <w:rsid w:val="00241507"/>
    <w:rsid w:val="00244D0E"/>
    <w:rsid w:val="00244DDA"/>
    <w:rsid w:val="002511AF"/>
    <w:rsid w:val="00260CA6"/>
    <w:rsid w:val="002614E3"/>
    <w:rsid w:val="0026234D"/>
    <w:rsid w:val="0026479B"/>
    <w:rsid w:val="0027111D"/>
    <w:rsid w:val="002712CC"/>
    <w:rsid w:val="002727AC"/>
    <w:rsid w:val="00275E5D"/>
    <w:rsid w:val="00291BDB"/>
    <w:rsid w:val="00294AA4"/>
    <w:rsid w:val="00296D64"/>
    <w:rsid w:val="002A2E8E"/>
    <w:rsid w:val="002A3DB0"/>
    <w:rsid w:val="002A4970"/>
    <w:rsid w:val="002B07BC"/>
    <w:rsid w:val="002B1E15"/>
    <w:rsid w:val="002B22E9"/>
    <w:rsid w:val="002B5282"/>
    <w:rsid w:val="002D02F0"/>
    <w:rsid w:val="002D52FE"/>
    <w:rsid w:val="002E0AAC"/>
    <w:rsid w:val="002E46F1"/>
    <w:rsid w:val="002E5F1D"/>
    <w:rsid w:val="003064B3"/>
    <w:rsid w:val="00324821"/>
    <w:rsid w:val="00326253"/>
    <w:rsid w:val="003276B3"/>
    <w:rsid w:val="003335E1"/>
    <w:rsid w:val="00337BA2"/>
    <w:rsid w:val="00344384"/>
    <w:rsid w:val="00353040"/>
    <w:rsid w:val="003677B4"/>
    <w:rsid w:val="00373CB2"/>
    <w:rsid w:val="003917AD"/>
    <w:rsid w:val="003A09BE"/>
    <w:rsid w:val="003A35DA"/>
    <w:rsid w:val="003A70BB"/>
    <w:rsid w:val="003A7450"/>
    <w:rsid w:val="003B6388"/>
    <w:rsid w:val="003D2706"/>
    <w:rsid w:val="003D5335"/>
    <w:rsid w:val="003D6F8F"/>
    <w:rsid w:val="003E3024"/>
    <w:rsid w:val="003F1853"/>
    <w:rsid w:val="003F3A11"/>
    <w:rsid w:val="003F612D"/>
    <w:rsid w:val="00400F11"/>
    <w:rsid w:val="00402163"/>
    <w:rsid w:val="00402FDA"/>
    <w:rsid w:val="004046BC"/>
    <w:rsid w:val="00415459"/>
    <w:rsid w:val="00417329"/>
    <w:rsid w:val="00427DA7"/>
    <w:rsid w:val="004344D2"/>
    <w:rsid w:val="004377A9"/>
    <w:rsid w:val="0044074D"/>
    <w:rsid w:val="00442A67"/>
    <w:rsid w:val="004522FA"/>
    <w:rsid w:val="00452638"/>
    <w:rsid w:val="004567AE"/>
    <w:rsid w:val="00463497"/>
    <w:rsid w:val="0046455C"/>
    <w:rsid w:val="00466BC5"/>
    <w:rsid w:val="00470CCF"/>
    <w:rsid w:val="00481738"/>
    <w:rsid w:val="0048425B"/>
    <w:rsid w:val="0049502F"/>
    <w:rsid w:val="004A11AA"/>
    <w:rsid w:val="004A1791"/>
    <w:rsid w:val="004A1DB4"/>
    <w:rsid w:val="004A6676"/>
    <w:rsid w:val="004A73FD"/>
    <w:rsid w:val="004A77C9"/>
    <w:rsid w:val="004A7F57"/>
    <w:rsid w:val="004D27BA"/>
    <w:rsid w:val="004D797E"/>
    <w:rsid w:val="004E01B9"/>
    <w:rsid w:val="004F0AB9"/>
    <w:rsid w:val="00500A26"/>
    <w:rsid w:val="00506BBE"/>
    <w:rsid w:val="0051112C"/>
    <w:rsid w:val="0051281A"/>
    <w:rsid w:val="00517F35"/>
    <w:rsid w:val="0052166C"/>
    <w:rsid w:val="00521C66"/>
    <w:rsid w:val="00524B8D"/>
    <w:rsid w:val="00525337"/>
    <w:rsid w:val="0053033A"/>
    <w:rsid w:val="00542D3B"/>
    <w:rsid w:val="00545609"/>
    <w:rsid w:val="005469AB"/>
    <w:rsid w:val="00546D67"/>
    <w:rsid w:val="00552ED5"/>
    <w:rsid w:val="005572C4"/>
    <w:rsid w:val="00561182"/>
    <w:rsid w:val="0056299F"/>
    <w:rsid w:val="005634F6"/>
    <w:rsid w:val="00563CDC"/>
    <w:rsid w:val="005641C4"/>
    <w:rsid w:val="005711B1"/>
    <w:rsid w:val="00583764"/>
    <w:rsid w:val="00587F22"/>
    <w:rsid w:val="005A5561"/>
    <w:rsid w:val="005B0EF0"/>
    <w:rsid w:val="005B50AA"/>
    <w:rsid w:val="005B6A23"/>
    <w:rsid w:val="005C54EF"/>
    <w:rsid w:val="005C62BA"/>
    <w:rsid w:val="005D193B"/>
    <w:rsid w:val="005E12D2"/>
    <w:rsid w:val="005E3A26"/>
    <w:rsid w:val="005E450E"/>
    <w:rsid w:val="005E4578"/>
    <w:rsid w:val="005F0377"/>
    <w:rsid w:val="005F5A5E"/>
    <w:rsid w:val="00607572"/>
    <w:rsid w:val="0061323D"/>
    <w:rsid w:val="006239AC"/>
    <w:rsid w:val="00623C4D"/>
    <w:rsid w:val="00625549"/>
    <w:rsid w:val="006262AA"/>
    <w:rsid w:val="006324E8"/>
    <w:rsid w:val="006349CE"/>
    <w:rsid w:val="00634CA5"/>
    <w:rsid w:val="00636AEE"/>
    <w:rsid w:val="00642367"/>
    <w:rsid w:val="00646EAA"/>
    <w:rsid w:val="00650A42"/>
    <w:rsid w:val="00654C15"/>
    <w:rsid w:val="006668DC"/>
    <w:rsid w:val="0067762F"/>
    <w:rsid w:val="00680C6D"/>
    <w:rsid w:val="006873BF"/>
    <w:rsid w:val="00694601"/>
    <w:rsid w:val="006947A8"/>
    <w:rsid w:val="006A2860"/>
    <w:rsid w:val="006A3B01"/>
    <w:rsid w:val="006B0FBC"/>
    <w:rsid w:val="006B1A11"/>
    <w:rsid w:val="006B2BC2"/>
    <w:rsid w:val="006C0BBA"/>
    <w:rsid w:val="006C48FD"/>
    <w:rsid w:val="006C777B"/>
    <w:rsid w:val="006D4E04"/>
    <w:rsid w:val="006D783B"/>
    <w:rsid w:val="006E3EF4"/>
    <w:rsid w:val="00700BAD"/>
    <w:rsid w:val="00701B5A"/>
    <w:rsid w:val="0070532E"/>
    <w:rsid w:val="007067B5"/>
    <w:rsid w:val="00710E14"/>
    <w:rsid w:val="00713563"/>
    <w:rsid w:val="00724087"/>
    <w:rsid w:val="007247AE"/>
    <w:rsid w:val="00726604"/>
    <w:rsid w:val="00730895"/>
    <w:rsid w:val="007354D5"/>
    <w:rsid w:val="00746419"/>
    <w:rsid w:val="00747D1C"/>
    <w:rsid w:val="00756FD1"/>
    <w:rsid w:val="00760303"/>
    <w:rsid w:val="00762A34"/>
    <w:rsid w:val="007729F9"/>
    <w:rsid w:val="00772BFD"/>
    <w:rsid w:val="00773B18"/>
    <w:rsid w:val="00774685"/>
    <w:rsid w:val="00781C71"/>
    <w:rsid w:val="00783174"/>
    <w:rsid w:val="0078525D"/>
    <w:rsid w:val="00785BFA"/>
    <w:rsid w:val="007865E6"/>
    <w:rsid w:val="00786E6A"/>
    <w:rsid w:val="00791246"/>
    <w:rsid w:val="007950D5"/>
    <w:rsid w:val="00795EA2"/>
    <w:rsid w:val="007A459C"/>
    <w:rsid w:val="007A6C70"/>
    <w:rsid w:val="007B11AC"/>
    <w:rsid w:val="007B3CF9"/>
    <w:rsid w:val="007B49D9"/>
    <w:rsid w:val="007D6505"/>
    <w:rsid w:val="007F19A2"/>
    <w:rsid w:val="007F1E27"/>
    <w:rsid w:val="007F3E32"/>
    <w:rsid w:val="007F6743"/>
    <w:rsid w:val="008038ED"/>
    <w:rsid w:val="0081394D"/>
    <w:rsid w:val="008341AF"/>
    <w:rsid w:val="008425BB"/>
    <w:rsid w:val="00852F69"/>
    <w:rsid w:val="008579A2"/>
    <w:rsid w:val="00864EF4"/>
    <w:rsid w:val="00865D60"/>
    <w:rsid w:val="0087608B"/>
    <w:rsid w:val="0087613A"/>
    <w:rsid w:val="0088102D"/>
    <w:rsid w:val="0088779E"/>
    <w:rsid w:val="00891DFB"/>
    <w:rsid w:val="0089229D"/>
    <w:rsid w:val="00896892"/>
    <w:rsid w:val="00897E22"/>
    <w:rsid w:val="008A08AB"/>
    <w:rsid w:val="008A4B66"/>
    <w:rsid w:val="008A58A7"/>
    <w:rsid w:val="008B1065"/>
    <w:rsid w:val="008C4172"/>
    <w:rsid w:val="008D4636"/>
    <w:rsid w:val="008D5845"/>
    <w:rsid w:val="008F48B9"/>
    <w:rsid w:val="008F5B8A"/>
    <w:rsid w:val="00912115"/>
    <w:rsid w:val="00912845"/>
    <w:rsid w:val="00913973"/>
    <w:rsid w:val="00914233"/>
    <w:rsid w:val="00941202"/>
    <w:rsid w:val="00946C1A"/>
    <w:rsid w:val="00955604"/>
    <w:rsid w:val="00955C82"/>
    <w:rsid w:val="00956115"/>
    <w:rsid w:val="009701BF"/>
    <w:rsid w:val="00971E7D"/>
    <w:rsid w:val="009724C5"/>
    <w:rsid w:val="0097767D"/>
    <w:rsid w:val="009806C8"/>
    <w:rsid w:val="00987242"/>
    <w:rsid w:val="00990B78"/>
    <w:rsid w:val="00992F93"/>
    <w:rsid w:val="00993666"/>
    <w:rsid w:val="009A74CB"/>
    <w:rsid w:val="009C09D7"/>
    <w:rsid w:val="009C2666"/>
    <w:rsid w:val="009D45DC"/>
    <w:rsid w:val="009F2B1D"/>
    <w:rsid w:val="009F6712"/>
    <w:rsid w:val="009F7CC3"/>
    <w:rsid w:val="00A00963"/>
    <w:rsid w:val="00A071FA"/>
    <w:rsid w:val="00A13A31"/>
    <w:rsid w:val="00A2244B"/>
    <w:rsid w:val="00A23F49"/>
    <w:rsid w:val="00A31884"/>
    <w:rsid w:val="00A322E4"/>
    <w:rsid w:val="00A35C62"/>
    <w:rsid w:val="00A41770"/>
    <w:rsid w:val="00A42781"/>
    <w:rsid w:val="00A45499"/>
    <w:rsid w:val="00A46D93"/>
    <w:rsid w:val="00A53144"/>
    <w:rsid w:val="00A536FD"/>
    <w:rsid w:val="00A57AEE"/>
    <w:rsid w:val="00A63422"/>
    <w:rsid w:val="00A7102D"/>
    <w:rsid w:val="00A73181"/>
    <w:rsid w:val="00A77B5C"/>
    <w:rsid w:val="00A8093A"/>
    <w:rsid w:val="00A80966"/>
    <w:rsid w:val="00A838BD"/>
    <w:rsid w:val="00A93661"/>
    <w:rsid w:val="00A95189"/>
    <w:rsid w:val="00AA63D1"/>
    <w:rsid w:val="00AB6E34"/>
    <w:rsid w:val="00AC24DC"/>
    <w:rsid w:val="00AC5819"/>
    <w:rsid w:val="00AC5FD5"/>
    <w:rsid w:val="00AD0181"/>
    <w:rsid w:val="00AE15E9"/>
    <w:rsid w:val="00AE6409"/>
    <w:rsid w:val="00AE6419"/>
    <w:rsid w:val="00AE70AC"/>
    <w:rsid w:val="00AF31CA"/>
    <w:rsid w:val="00AF7744"/>
    <w:rsid w:val="00B016BA"/>
    <w:rsid w:val="00B05279"/>
    <w:rsid w:val="00B13D57"/>
    <w:rsid w:val="00B21639"/>
    <w:rsid w:val="00B2424C"/>
    <w:rsid w:val="00B27919"/>
    <w:rsid w:val="00B43198"/>
    <w:rsid w:val="00B436A5"/>
    <w:rsid w:val="00B50427"/>
    <w:rsid w:val="00B52C22"/>
    <w:rsid w:val="00B55FD0"/>
    <w:rsid w:val="00B564ED"/>
    <w:rsid w:val="00B63CE8"/>
    <w:rsid w:val="00B65C32"/>
    <w:rsid w:val="00B72D8B"/>
    <w:rsid w:val="00B72ED9"/>
    <w:rsid w:val="00B774C6"/>
    <w:rsid w:val="00B824FB"/>
    <w:rsid w:val="00B82ED4"/>
    <w:rsid w:val="00B8360A"/>
    <w:rsid w:val="00B94CB4"/>
    <w:rsid w:val="00B95C14"/>
    <w:rsid w:val="00BA1D1E"/>
    <w:rsid w:val="00BB3638"/>
    <w:rsid w:val="00BB7E0D"/>
    <w:rsid w:val="00BC05DA"/>
    <w:rsid w:val="00BC2F4F"/>
    <w:rsid w:val="00BC72A7"/>
    <w:rsid w:val="00BC7474"/>
    <w:rsid w:val="00BD1794"/>
    <w:rsid w:val="00BD4521"/>
    <w:rsid w:val="00BE3D83"/>
    <w:rsid w:val="00BE598C"/>
    <w:rsid w:val="00BE673A"/>
    <w:rsid w:val="00BF7D37"/>
    <w:rsid w:val="00C10D9B"/>
    <w:rsid w:val="00C12F12"/>
    <w:rsid w:val="00C20343"/>
    <w:rsid w:val="00C25DEE"/>
    <w:rsid w:val="00C263C6"/>
    <w:rsid w:val="00C27CDC"/>
    <w:rsid w:val="00C34BA8"/>
    <w:rsid w:val="00C400CB"/>
    <w:rsid w:val="00C43CCA"/>
    <w:rsid w:val="00C443DF"/>
    <w:rsid w:val="00C4748F"/>
    <w:rsid w:val="00C50D70"/>
    <w:rsid w:val="00C56567"/>
    <w:rsid w:val="00C56ECE"/>
    <w:rsid w:val="00C644C3"/>
    <w:rsid w:val="00C700F5"/>
    <w:rsid w:val="00C7152A"/>
    <w:rsid w:val="00C7558D"/>
    <w:rsid w:val="00C80AD6"/>
    <w:rsid w:val="00C82F3B"/>
    <w:rsid w:val="00C8469C"/>
    <w:rsid w:val="00C85519"/>
    <w:rsid w:val="00C91167"/>
    <w:rsid w:val="00CA19E4"/>
    <w:rsid w:val="00CB2500"/>
    <w:rsid w:val="00CC0F21"/>
    <w:rsid w:val="00CC11BF"/>
    <w:rsid w:val="00CD0F58"/>
    <w:rsid w:val="00CD18E6"/>
    <w:rsid w:val="00CE04D5"/>
    <w:rsid w:val="00CF6FD1"/>
    <w:rsid w:val="00D0556F"/>
    <w:rsid w:val="00D10CA7"/>
    <w:rsid w:val="00D144A1"/>
    <w:rsid w:val="00D175F6"/>
    <w:rsid w:val="00D17A8C"/>
    <w:rsid w:val="00D3656D"/>
    <w:rsid w:val="00D369B7"/>
    <w:rsid w:val="00D412B0"/>
    <w:rsid w:val="00D502D0"/>
    <w:rsid w:val="00D55A2D"/>
    <w:rsid w:val="00D55EE0"/>
    <w:rsid w:val="00D56C0A"/>
    <w:rsid w:val="00D62A04"/>
    <w:rsid w:val="00D709D0"/>
    <w:rsid w:val="00D724AB"/>
    <w:rsid w:val="00D73F5C"/>
    <w:rsid w:val="00D82428"/>
    <w:rsid w:val="00D84C2D"/>
    <w:rsid w:val="00DA1524"/>
    <w:rsid w:val="00DB2FB8"/>
    <w:rsid w:val="00DD083B"/>
    <w:rsid w:val="00DD19F9"/>
    <w:rsid w:val="00DD2AE3"/>
    <w:rsid w:val="00DD3677"/>
    <w:rsid w:val="00DE6EF1"/>
    <w:rsid w:val="00E01BBE"/>
    <w:rsid w:val="00E01C5E"/>
    <w:rsid w:val="00E0773D"/>
    <w:rsid w:val="00E150C5"/>
    <w:rsid w:val="00E26F2B"/>
    <w:rsid w:val="00E305FA"/>
    <w:rsid w:val="00E31284"/>
    <w:rsid w:val="00E36148"/>
    <w:rsid w:val="00E44F56"/>
    <w:rsid w:val="00E5606E"/>
    <w:rsid w:val="00E57F5A"/>
    <w:rsid w:val="00E61CD8"/>
    <w:rsid w:val="00E63C62"/>
    <w:rsid w:val="00E64FDE"/>
    <w:rsid w:val="00E77289"/>
    <w:rsid w:val="00E81CEB"/>
    <w:rsid w:val="00E850D9"/>
    <w:rsid w:val="00E85824"/>
    <w:rsid w:val="00E85A5F"/>
    <w:rsid w:val="00E90C60"/>
    <w:rsid w:val="00E937D1"/>
    <w:rsid w:val="00EA0AC5"/>
    <w:rsid w:val="00EA495D"/>
    <w:rsid w:val="00EB6A6C"/>
    <w:rsid w:val="00EC1EE6"/>
    <w:rsid w:val="00ED2749"/>
    <w:rsid w:val="00ED46BF"/>
    <w:rsid w:val="00ED4FF9"/>
    <w:rsid w:val="00EE4218"/>
    <w:rsid w:val="00EF0757"/>
    <w:rsid w:val="00EF3960"/>
    <w:rsid w:val="00EF621C"/>
    <w:rsid w:val="00F12696"/>
    <w:rsid w:val="00F14E38"/>
    <w:rsid w:val="00F232D8"/>
    <w:rsid w:val="00F27CF4"/>
    <w:rsid w:val="00F324AC"/>
    <w:rsid w:val="00F34482"/>
    <w:rsid w:val="00F42489"/>
    <w:rsid w:val="00F4364B"/>
    <w:rsid w:val="00F563B2"/>
    <w:rsid w:val="00F719BF"/>
    <w:rsid w:val="00F71BFD"/>
    <w:rsid w:val="00F81163"/>
    <w:rsid w:val="00F81AFE"/>
    <w:rsid w:val="00F82A4F"/>
    <w:rsid w:val="00F84438"/>
    <w:rsid w:val="00F955C8"/>
    <w:rsid w:val="00FB1995"/>
    <w:rsid w:val="00FB3E37"/>
    <w:rsid w:val="00FB6A8E"/>
    <w:rsid w:val="00FB76A6"/>
    <w:rsid w:val="00FB7C62"/>
    <w:rsid w:val="00FC3F40"/>
    <w:rsid w:val="00FC46DD"/>
    <w:rsid w:val="00FC59AE"/>
    <w:rsid w:val="00FE28D0"/>
    <w:rsid w:val="00FE5556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07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1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B5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3E"/>
    <w:rPr>
      <w:rFonts w:ascii="Times New Roman" w:hAnsi="Times New Roman"/>
      <w:sz w:val="0"/>
      <w:szCs w:val="0"/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1B7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EF7E9A9B-B286-4FA1-A473-5A54455306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1965</Words>
  <Characters>12549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Universitair Medisch Centrum Groningen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hoonhorstsjm</dc:creator>
  <cp:keywords/>
  <dc:description/>
  <cp:lastModifiedBy>zkgonzales</cp:lastModifiedBy>
  <cp:revision>13</cp:revision>
  <cp:lastPrinted>2014-03-07T15:33:00Z</cp:lastPrinted>
  <dcterms:created xsi:type="dcterms:W3CDTF">2014-08-31T13:57:00Z</dcterms:created>
  <dcterms:modified xsi:type="dcterms:W3CDTF">2014-10-09T01:57:00Z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