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59" w:rsidRPr="00E10CA3" w:rsidRDefault="006B246A" w:rsidP="009941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246A">
        <w:rPr>
          <w:rFonts w:ascii="Times New Roman" w:hAnsi="Times New Roman" w:cs="Times New Roman"/>
          <w:b/>
          <w:sz w:val="24"/>
          <w:szCs w:val="24"/>
        </w:rPr>
        <w:t xml:space="preserve">Mäkikyrö EMS, Jaakkola MS, Jaakkola JJK. </w:t>
      </w:r>
      <w:r w:rsidR="0099417C" w:rsidRPr="0099417C">
        <w:rPr>
          <w:rFonts w:ascii="Times New Roman" w:hAnsi="Times New Roman" w:cs="Times New Roman"/>
          <w:b/>
          <w:sz w:val="24"/>
          <w:szCs w:val="28"/>
          <w:lang w:val="en-US"/>
        </w:rPr>
        <w:t xml:space="preserve">Subtypes of asthma </w:t>
      </w:r>
      <w:r w:rsidR="00691671">
        <w:rPr>
          <w:rFonts w:ascii="Times New Roman" w:hAnsi="Times New Roman" w:cs="Times New Roman"/>
          <w:b/>
          <w:sz w:val="24"/>
          <w:szCs w:val="28"/>
          <w:lang w:val="en-US"/>
        </w:rPr>
        <w:t>based on</w:t>
      </w:r>
      <w:r w:rsidR="0099417C" w:rsidRPr="0099417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asthma control and severity: a latent class analysis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922400">
        <w:rPr>
          <w:rFonts w:ascii="Times New Roman" w:hAnsi="Times New Roman" w:cs="Times New Roman"/>
          <w:b/>
          <w:sz w:val="24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922400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6B246A" w:rsidRDefault="006B246A" w:rsidP="00821C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45" w:rsidRPr="00E10CA3" w:rsidRDefault="00037CF6" w:rsidP="00821C5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0CA3">
        <w:rPr>
          <w:rFonts w:ascii="Times New Roman" w:hAnsi="Times New Roman" w:cs="Times New Roman"/>
          <w:b/>
          <w:sz w:val="24"/>
          <w:szCs w:val="24"/>
          <w:lang w:val="en-US"/>
        </w:rPr>
        <w:t>The subtypes of asthma among the whole study population</w:t>
      </w:r>
    </w:p>
    <w:p w:rsidR="00404951" w:rsidRPr="00E10CA3" w:rsidRDefault="00404951" w:rsidP="0054214C">
      <w:pPr>
        <w:pStyle w:val="NormalWeb"/>
        <w:spacing w:line="480" w:lineRule="auto"/>
        <w:jc w:val="both"/>
        <w:rPr>
          <w:lang w:val="en-US"/>
        </w:rPr>
      </w:pPr>
      <w:r w:rsidRPr="00E10CA3">
        <w:rPr>
          <w:lang w:val="en-US"/>
        </w:rPr>
        <w:t xml:space="preserve">For the whole </w:t>
      </w:r>
      <w:r w:rsidR="00691671">
        <w:rPr>
          <w:lang w:val="en-US"/>
        </w:rPr>
        <w:t xml:space="preserve">study </w:t>
      </w:r>
      <w:r w:rsidRPr="00E10CA3">
        <w:rPr>
          <w:lang w:val="en-US"/>
        </w:rPr>
        <w:t>population</w:t>
      </w:r>
      <w:r w:rsidR="00691671">
        <w:rPr>
          <w:lang w:val="en-US"/>
        </w:rPr>
        <w:t>,</w:t>
      </w:r>
      <w:r w:rsidRPr="00E10CA3">
        <w:rPr>
          <w:lang w:val="en-US"/>
        </w:rPr>
        <w:t xml:space="preserve"> the five class model was </w:t>
      </w:r>
      <w:r w:rsidR="00691671">
        <w:rPr>
          <w:lang w:val="en-US"/>
        </w:rPr>
        <w:t>the best</w:t>
      </w:r>
      <w:r w:rsidRPr="00E10CA3">
        <w:rPr>
          <w:lang w:val="en-US"/>
        </w:rPr>
        <w:t xml:space="preserve"> fitting</w:t>
      </w:r>
      <w:r w:rsidR="007B5ADC" w:rsidRPr="00E10CA3">
        <w:rPr>
          <w:lang w:val="en-US"/>
        </w:rPr>
        <w:t xml:space="preserve"> (</w:t>
      </w:r>
      <w:r w:rsidR="007A385A" w:rsidRPr="00E10CA3">
        <w:rPr>
          <w:lang w:val="en-US"/>
        </w:rPr>
        <w:t>Table</w:t>
      </w:r>
      <w:r w:rsidR="007B5ADC" w:rsidRPr="00E10CA3">
        <w:rPr>
          <w:lang w:val="en-US"/>
        </w:rPr>
        <w:t xml:space="preserve"> </w:t>
      </w:r>
      <w:proofErr w:type="spellStart"/>
      <w:r w:rsidR="00024912">
        <w:rPr>
          <w:lang w:val="en-US"/>
        </w:rPr>
        <w:t>S</w:t>
      </w:r>
      <w:r w:rsidR="00024912" w:rsidRPr="00E10CA3">
        <w:rPr>
          <w:lang w:val="en-US"/>
        </w:rPr>
        <w:t>1</w:t>
      </w:r>
      <w:proofErr w:type="spellEnd"/>
      <w:r w:rsidR="007B5ADC" w:rsidRPr="00E10CA3">
        <w:rPr>
          <w:lang w:val="en-US"/>
        </w:rPr>
        <w:t>)</w:t>
      </w:r>
      <w:r w:rsidRPr="00E10CA3">
        <w:rPr>
          <w:lang w:val="en-US"/>
        </w:rPr>
        <w:t xml:space="preserve">. Further analyses indicated that men and women should be analyzed separately, so that is why </w:t>
      </w:r>
      <w:proofErr w:type="gramStart"/>
      <w:r w:rsidRPr="00E10CA3">
        <w:rPr>
          <w:lang w:val="en-US"/>
        </w:rPr>
        <w:t>we  present</w:t>
      </w:r>
      <w:proofErr w:type="gramEnd"/>
      <w:r w:rsidRPr="00E10CA3">
        <w:rPr>
          <w:lang w:val="en-US"/>
        </w:rPr>
        <w:t xml:space="preserve"> the</w:t>
      </w:r>
      <w:r w:rsidR="00691671">
        <w:rPr>
          <w:lang w:val="en-US"/>
        </w:rPr>
        <w:t xml:space="preserve"> analyses among the</w:t>
      </w:r>
      <w:r w:rsidRPr="00E10CA3">
        <w:rPr>
          <w:lang w:val="en-US"/>
        </w:rPr>
        <w:t xml:space="preserve"> whole population </w:t>
      </w:r>
      <w:r w:rsidR="00691671">
        <w:rPr>
          <w:lang w:val="en-US"/>
        </w:rPr>
        <w:t>only</w:t>
      </w:r>
      <w:r w:rsidRPr="00E10CA3">
        <w:rPr>
          <w:lang w:val="en-US"/>
        </w:rPr>
        <w:t xml:space="preserve"> here. The five class</w:t>
      </w:r>
      <w:r w:rsidR="00691671">
        <w:rPr>
          <w:lang w:val="en-US"/>
        </w:rPr>
        <w:t xml:space="preserve"> (i.e. five subtypes)</w:t>
      </w:r>
      <w:r w:rsidRPr="00E10CA3">
        <w:rPr>
          <w:lang w:val="en-US"/>
        </w:rPr>
        <w:t xml:space="preserve"> model </w:t>
      </w:r>
      <w:r w:rsidR="00691671">
        <w:rPr>
          <w:lang w:val="en-US"/>
        </w:rPr>
        <w:t>showed the</w:t>
      </w:r>
      <w:r w:rsidRPr="00E10CA3">
        <w:rPr>
          <w:lang w:val="en-US"/>
        </w:rPr>
        <w:t xml:space="preserve"> best fit. The classes were named: 1)</w:t>
      </w:r>
      <w:r w:rsidRPr="00E10CA3">
        <w:rPr>
          <w:i/>
          <w:lang w:val="en-US"/>
        </w:rPr>
        <w:t xml:space="preserve"> Fully controlled, mild asthma</w:t>
      </w:r>
      <w:r w:rsidRPr="00E10CA3">
        <w:rPr>
          <w:lang w:val="en-US"/>
        </w:rPr>
        <w:t>,</w:t>
      </w:r>
      <w:r w:rsidRPr="00E10CA3">
        <w:rPr>
          <w:i/>
          <w:lang w:val="en-US"/>
        </w:rPr>
        <w:t xml:space="preserve"> </w:t>
      </w:r>
      <w:r w:rsidRPr="00E10CA3">
        <w:rPr>
          <w:lang w:val="en-US"/>
        </w:rPr>
        <w:t>2)</w:t>
      </w:r>
      <w:r w:rsidRPr="00E10CA3">
        <w:rPr>
          <w:i/>
          <w:lang w:val="en-US"/>
        </w:rPr>
        <w:t xml:space="preserve"> Control</w:t>
      </w:r>
      <w:r w:rsidR="00821C59" w:rsidRPr="00E10CA3">
        <w:rPr>
          <w:i/>
          <w:lang w:val="en-US"/>
        </w:rPr>
        <w:t>led, mild asthma</w:t>
      </w:r>
      <w:r w:rsidRPr="00E10CA3">
        <w:rPr>
          <w:i/>
          <w:lang w:val="en-US"/>
        </w:rPr>
        <w:t xml:space="preserve">, </w:t>
      </w:r>
      <w:r w:rsidRPr="00E10CA3">
        <w:rPr>
          <w:lang w:val="en-US"/>
        </w:rPr>
        <w:t xml:space="preserve">3) </w:t>
      </w:r>
      <w:r w:rsidRPr="00E10CA3">
        <w:rPr>
          <w:i/>
          <w:lang w:val="en-US"/>
        </w:rPr>
        <w:t xml:space="preserve">Partly controlled, moderate asthma, </w:t>
      </w:r>
      <w:r w:rsidRPr="00E10CA3">
        <w:rPr>
          <w:lang w:val="en-US"/>
        </w:rPr>
        <w:t>4)</w:t>
      </w:r>
      <w:r w:rsidR="0021081E">
        <w:rPr>
          <w:i/>
          <w:lang w:val="en-US"/>
        </w:rPr>
        <w:t xml:space="preserve"> Uncontrolled asthma, </w:t>
      </w:r>
      <w:r w:rsidRPr="00E10CA3">
        <w:rPr>
          <w:i/>
          <w:lang w:val="en-US"/>
        </w:rPr>
        <w:t>unknown severity</w:t>
      </w:r>
      <w:r w:rsidR="00691671">
        <w:rPr>
          <w:i/>
          <w:lang w:val="en-US"/>
        </w:rPr>
        <w:t>,</w:t>
      </w:r>
      <w:r w:rsidRPr="00E10CA3">
        <w:rPr>
          <w:i/>
          <w:lang w:val="en-US"/>
        </w:rPr>
        <w:t xml:space="preserve"> </w:t>
      </w:r>
      <w:r w:rsidRPr="00E10CA3">
        <w:rPr>
          <w:lang w:val="en-US"/>
        </w:rPr>
        <w:t>and 5)</w:t>
      </w:r>
      <w:r w:rsidRPr="00E10CA3">
        <w:rPr>
          <w:i/>
          <w:lang w:val="en-US"/>
        </w:rPr>
        <w:t xml:space="preserve"> Uncontrolled, severe asthma</w:t>
      </w:r>
      <w:proofErr w:type="gramStart"/>
      <w:r w:rsidRPr="00E10CA3">
        <w:rPr>
          <w:i/>
          <w:lang w:val="en-US"/>
        </w:rPr>
        <w:t>.</w:t>
      </w:r>
      <w:r w:rsidRPr="00E10CA3">
        <w:rPr>
          <w:lang w:val="en-US"/>
        </w:rPr>
        <w:t xml:space="preserve">  </w:t>
      </w:r>
      <w:proofErr w:type="gramEnd"/>
      <w:r w:rsidRPr="00E10CA3">
        <w:rPr>
          <w:lang w:val="en-US"/>
        </w:rPr>
        <w:t>The corresponding class membership probabilities were 1)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22 (95% CI: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14-0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29), 2)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26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20-0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33), 3)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16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13-0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20), 4)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27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18-0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36),</w:t>
      </w:r>
      <w:r w:rsidR="00691671">
        <w:rPr>
          <w:lang w:val="en-US"/>
        </w:rPr>
        <w:t xml:space="preserve"> and</w:t>
      </w:r>
      <w:r w:rsidRPr="00E10CA3">
        <w:rPr>
          <w:lang w:val="en-US"/>
        </w:rPr>
        <w:t xml:space="preserve"> 5)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09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06-0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11).  The best fitting class posterior probability means (min-max) were: 1)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64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35-0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95), 2)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83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36-1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00), 3)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77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42-1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00), 4)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79 0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42-1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00),</w:t>
      </w:r>
      <w:r w:rsidR="00691671">
        <w:rPr>
          <w:lang w:val="en-US"/>
        </w:rPr>
        <w:t xml:space="preserve"> and</w:t>
      </w:r>
      <w:r w:rsidRPr="00E10CA3">
        <w:rPr>
          <w:lang w:val="en-US"/>
        </w:rPr>
        <w:t xml:space="preserve"> 5)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77 (0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34-0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96). Only 187 subjects (9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37%) had posterior probabilities below 0</w:t>
      </w:r>
      <w:r w:rsidR="00821C59" w:rsidRPr="00E10CA3">
        <w:rPr>
          <w:lang w:val="en-US"/>
        </w:rPr>
        <w:t>.</w:t>
      </w:r>
      <w:r w:rsidRPr="00E10CA3">
        <w:rPr>
          <w:lang w:val="en-US"/>
        </w:rPr>
        <w:t>50</w:t>
      </w:r>
      <w:r w:rsidR="00ED4A1D">
        <w:rPr>
          <w:lang w:val="en-US"/>
        </w:rPr>
        <w:t>, this</w:t>
      </w:r>
      <w:r w:rsidRPr="00E10CA3">
        <w:rPr>
          <w:lang w:val="en-US"/>
        </w:rPr>
        <w:t xml:space="preserve"> indicat</w:t>
      </w:r>
      <w:r w:rsidR="00ED4A1D">
        <w:rPr>
          <w:lang w:val="en-US"/>
        </w:rPr>
        <w:t>es</w:t>
      </w:r>
      <w:r w:rsidRPr="00E10CA3">
        <w:rPr>
          <w:lang w:val="en-US"/>
        </w:rPr>
        <w:t xml:space="preserve"> that when a person </w:t>
      </w:r>
      <w:r w:rsidR="00ED4A1D">
        <w:rPr>
          <w:lang w:val="en-US"/>
        </w:rPr>
        <w:t>was</w:t>
      </w:r>
      <w:r w:rsidRPr="00E10CA3">
        <w:rPr>
          <w:lang w:val="en-US"/>
        </w:rPr>
        <w:t xml:space="preserve"> assigned to a certain class, he/she </w:t>
      </w:r>
      <w:r w:rsidR="00ED4A1D">
        <w:rPr>
          <w:lang w:val="en-US"/>
        </w:rPr>
        <w:t>was</w:t>
      </w:r>
      <w:r w:rsidRPr="00E10CA3">
        <w:rPr>
          <w:lang w:val="en-US"/>
        </w:rPr>
        <w:t xml:space="preserve"> also likely </w:t>
      </w:r>
      <w:proofErr w:type="gramStart"/>
      <w:r w:rsidRPr="00E10CA3">
        <w:rPr>
          <w:lang w:val="en-US"/>
        </w:rPr>
        <w:t>belong</w:t>
      </w:r>
      <w:proofErr w:type="gramEnd"/>
      <w:r w:rsidRPr="00E10CA3">
        <w:rPr>
          <w:lang w:val="en-US"/>
        </w:rPr>
        <w:t xml:space="preserve"> to it (Table 4).</w:t>
      </w:r>
    </w:p>
    <w:p w:rsidR="00037CF6" w:rsidRPr="00E10CA3" w:rsidRDefault="00821C59" w:rsidP="0054214C">
      <w:pPr>
        <w:pStyle w:val="NormalWeb"/>
        <w:spacing w:line="480" w:lineRule="auto"/>
        <w:jc w:val="both"/>
        <w:rPr>
          <w:b/>
          <w:lang w:val="en-US"/>
        </w:rPr>
      </w:pPr>
      <w:r w:rsidRPr="00E10CA3">
        <w:rPr>
          <w:i/>
          <w:lang w:val="en-US"/>
        </w:rPr>
        <w:t>Fully controlled, mild asthma</w:t>
      </w:r>
      <w:r w:rsidR="00404951" w:rsidRPr="00E10CA3">
        <w:rPr>
          <w:lang w:val="en-US"/>
        </w:rPr>
        <w:t xml:space="preserve"> was characterized by the least use of ICS</w:t>
      </w:r>
      <w:r w:rsidR="00ED4A1D">
        <w:rPr>
          <w:lang w:val="en-US"/>
        </w:rPr>
        <w:t xml:space="preserve"> and</w:t>
      </w:r>
      <w:r w:rsidR="00404951" w:rsidRPr="00E10CA3">
        <w:rPr>
          <w:lang w:val="en-US"/>
        </w:rPr>
        <w:t xml:space="preserve"> BD</w:t>
      </w:r>
      <w:r w:rsidR="00ED4A1D">
        <w:rPr>
          <w:lang w:val="en-US"/>
        </w:rPr>
        <w:t>,</w:t>
      </w:r>
      <w:r w:rsidR="00404951" w:rsidRPr="00E10CA3">
        <w:rPr>
          <w:lang w:val="en-US"/>
        </w:rPr>
        <w:t xml:space="preserve"> and no use of AB or OCS. St. George’s </w:t>
      </w:r>
      <w:r w:rsidR="00ED4A1D">
        <w:rPr>
          <w:lang w:val="en-US"/>
        </w:rPr>
        <w:t xml:space="preserve">respiratory </w:t>
      </w:r>
      <w:r w:rsidR="00404951" w:rsidRPr="00E10CA3">
        <w:rPr>
          <w:lang w:val="en-US"/>
        </w:rPr>
        <w:t xml:space="preserve">scores </w:t>
      </w:r>
      <w:r w:rsidR="000539ED">
        <w:rPr>
          <w:lang w:val="en-US"/>
        </w:rPr>
        <w:t xml:space="preserve">(SGTS) </w:t>
      </w:r>
      <w:r w:rsidR="00404951" w:rsidRPr="00E10CA3">
        <w:rPr>
          <w:lang w:val="en-US"/>
        </w:rPr>
        <w:t xml:space="preserve">were mostly at </w:t>
      </w:r>
      <w:r w:rsidR="00ED4A1D">
        <w:rPr>
          <w:lang w:val="en-US"/>
        </w:rPr>
        <w:t xml:space="preserve">the </w:t>
      </w:r>
      <w:r w:rsidR="00404951" w:rsidRPr="00E10CA3">
        <w:rPr>
          <w:lang w:val="en-US"/>
        </w:rPr>
        <w:t>healthy person</w:t>
      </w:r>
      <w:r w:rsidR="00ED4A1D">
        <w:rPr>
          <w:lang w:val="en-US"/>
        </w:rPr>
        <w:t>’s</w:t>
      </w:r>
      <w:r w:rsidR="00404951" w:rsidRPr="00E10CA3">
        <w:rPr>
          <w:lang w:val="en-US"/>
        </w:rPr>
        <w:t xml:space="preserve"> level.</w:t>
      </w:r>
      <w:r w:rsidRPr="00E10CA3">
        <w:rPr>
          <w:lang w:val="en-US"/>
        </w:rPr>
        <w:t xml:space="preserve"> </w:t>
      </w:r>
      <w:r w:rsidRPr="00E10CA3">
        <w:rPr>
          <w:i/>
          <w:lang w:val="en-US"/>
        </w:rPr>
        <w:t>Controlled, mild asthma</w:t>
      </w:r>
      <w:r w:rsidR="00404951" w:rsidRPr="00E10CA3">
        <w:rPr>
          <w:lang w:val="en-US"/>
        </w:rPr>
        <w:t xml:space="preserve"> was also described by low SGTS, but more ICS and BD use</w:t>
      </w:r>
      <w:r w:rsidR="000539ED">
        <w:rPr>
          <w:lang w:val="en-US"/>
        </w:rPr>
        <w:t>, while</w:t>
      </w:r>
      <w:r w:rsidR="00404951" w:rsidRPr="00E10CA3">
        <w:rPr>
          <w:lang w:val="en-US"/>
        </w:rPr>
        <w:t xml:space="preserve"> still no HCU or </w:t>
      </w:r>
      <w:r w:rsidR="000539ED">
        <w:rPr>
          <w:lang w:val="en-US"/>
        </w:rPr>
        <w:t xml:space="preserve">use of </w:t>
      </w:r>
      <w:r w:rsidR="00404951" w:rsidRPr="00E10CA3">
        <w:rPr>
          <w:lang w:val="en-US"/>
        </w:rPr>
        <w:t xml:space="preserve">oral medication. </w:t>
      </w:r>
      <w:r w:rsidRPr="00E10CA3">
        <w:rPr>
          <w:i/>
          <w:lang w:val="en-US"/>
        </w:rPr>
        <w:t>Partly controlled, moderate asthma</w:t>
      </w:r>
      <w:r w:rsidRPr="00E10CA3">
        <w:rPr>
          <w:lang w:val="en-US"/>
        </w:rPr>
        <w:t xml:space="preserve"> </w:t>
      </w:r>
      <w:r w:rsidR="00404951" w:rsidRPr="00E10CA3">
        <w:rPr>
          <w:lang w:val="en-US"/>
        </w:rPr>
        <w:t>was described by some oral medications, intermediate HCU scores</w:t>
      </w:r>
      <w:r w:rsidR="000539ED">
        <w:rPr>
          <w:lang w:val="en-US"/>
        </w:rPr>
        <w:t>,</w:t>
      </w:r>
      <w:r w:rsidR="00404951" w:rsidRPr="00E10CA3">
        <w:rPr>
          <w:lang w:val="en-US"/>
        </w:rPr>
        <w:t xml:space="preserve"> and higher use of daily ICS (0.86, 0.81-0.91) and BD (0.12, 0.06-0.13). </w:t>
      </w:r>
      <w:r w:rsidRPr="00E10CA3">
        <w:rPr>
          <w:i/>
          <w:lang w:val="en-US"/>
        </w:rPr>
        <w:t xml:space="preserve">Uncontrolled asthma with unknown severity </w:t>
      </w:r>
      <w:r w:rsidR="00404951" w:rsidRPr="00E10CA3">
        <w:rPr>
          <w:lang w:val="en-US"/>
        </w:rPr>
        <w:t xml:space="preserve">was characterized by low BD and ICS use, low HCU scores, </w:t>
      </w:r>
      <w:r w:rsidR="000539ED">
        <w:rPr>
          <w:lang w:val="en-US"/>
        </w:rPr>
        <w:t xml:space="preserve">and low </w:t>
      </w:r>
      <w:r w:rsidR="00404951" w:rsidRPr="00E10CA3">
        <w:rPr>
          <w:lang w:val="en-US"/>
        </w:rPr>
        <w:t>OCS and AB use</w:t>
      </w:r>
      <w:r w:rsidR="000539ED">
        <w:rPr>
          <w:lang w:val="en-US"/>
        </w:rPr>
        <w:t>,</w:t>
      </w:r>
      <w:r w:rsidR="00404951" w:rsidRPr="00E10CA3">
        <w:rPr>
          <w:lang w:val="en-US"/>
        </w:rPr>
        <w:t xml:space="preserve"> despite </w:t>
      </w:r>
      <w:r w:rsidR="000539ED">
        <w:rPr>
          <w:lang w:val="en-US"/>
        </w:rPr>
        <w:t xml:space="preserve">of </w:t>
      </w:r>
      <w:r w:rsidR="00404951" w:rsidRPr="00E10CA3">
        <w:rPr>
          <w:lang w:val="en-US"/>
        </w:rPr>
        <w:t>higher SGTS (0.44, 0.37-0.50</w:t>
      </w:r>
      <w:r w:rsidR="000539ED">
        <w:rPr>
          <w:lang w:val="en-US"/>
        </w:rPr>
        <w:t>,</w:t>
      </w:r>
      <w:r w:rsidR="00404951" w:rsidRPr="00E10CA3">
        <w:rPr>
          <w:lang w:val="en-US"/>
        </w:rPr>
        <w:t xml:space="preserve"> scores over 27). This group has at the moment severe manifestations, but due to poor compliance</w:t>
      </w:r>
      <w:r w:rsidR="000539ED">
        <w:rPr>
          <w:lang w:val="en-US"/>
        </w:rPr>
        <w:t xml:space="preserve"> with asthma </w:t>
      </w:r>
      <w:r w:rsidR="000539ED">
        <w:rPr>
          <w:lang w:val="en-US"/>
        </w:rPr>
        <w:lastRenderedPageBreak/>
        <w:t>medications</w:t>
      </w:r>
      <w:r w:rsidR="00404951" w:rsidRPr="00E10CA3">
        <w:rPr>
          <w:lang w:val="en-US"/>
        </w:rPr>
        <w:t xml:space="preserve"> their “true” severity cannot be estimated. Subjects in </w:t>
      </w:r>
      <w:r w:rsidRPr="00E10CA3">
        <w:rPr>
          <w:i/>
          <w:lang w:val="en-US"/>
        </w:rPr>
        <w:t>Uncontrolled, severe asthma</w:t>
      </w:r>
      <w:r w:rsidR="00404951" w:rsidRPr="00E10CA3">
        <w:rPr>
          <w:lang w:val="en-US"/>
        </w:rPr>
        <w:t xml:space="preserve"> had the highest SGTS, but also most ICS, BD, OCS and AB use and high HCU. (</w:t>
      </w:r>
      <w:r w:rsidR="007A385A" w:rsidRPr="00E10CA3">
        <w:rPr>
          <w:lang w:val="en-US"/>
        </w:rPr>
        <w:t>T</w:t>
      </w:r>
      <w:r w:rsidR="00404951" w:rsidRPr="00E10CA3">
        <w:rPr>
          <w:lang w:val="en-US"/>
        </w:rPr>
        <w:t xml:space="preserve">able </w:t>
      </w:r>
      <w:proofErr w:type="spellStart"/>
      <w:r w:rsidR="00024912">
        <w:rPr>
          <w:lang w:val="en-US"/>
        </w:rPr>
        <w:t>S</w:t>
      </w:r>
      <w:r w:rsidR="00024912" w:rsidRPr="00E10CA3">
        <w:rPr>
          <w:lang w:val="en-US"/>
        </w:rPr>
        <w:t>2</w:t>
      </w:r>
      <w:proofErr w:type="spellEnd"/>
      <w:r w:rsidR="00404951" w:rsidRPr="00E10CA3">
        <w:rPr>
          <w:lang w:val="en-US"/>
        </w:rPr>
        <w:t>)</w:t>
      </w:r>
    </w:p>
    <w:p w:rsidR="007B5ADC" w:rsidRPr="00E10CA3" w:rsidRDefault="007B5ADC" w:rsidP="005421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The results of the analyses for 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predicting factors are displayed in Table </w:t>
      </w:r>
      <w:proofErr w:type="spellStart"/>
      <w:r w:rsidR="000249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912" w:rsidRPr="00E10CA3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End"/>
      <w:r w:rsidRPr="00E10CA3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ge was a significant predictor of all other subtypes except</w:t>
      </w:r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proofErr w:type="gramEnd"/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controlled, moderate asthma</w:t>
      </w:r>
      <w:r w:rsidR="00404951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For th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ose above 60 years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the odds for</w:t>
      </w:r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Uncontrolled asthma</w:t>
      </w:r>
      <w:r w:rsidR="0021081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unknown severity</w:t>
      </w:r>
      <w:r w:rsidR="00821C59" w:rsidRPr="00E10CA3">
        <w:rPr>
          <w:i/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is 8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62 (95% CI: 4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00-18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57), but the odds 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>ratio was also elevated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21C59" w:rsidRPr="00E10CA3">
        <w:rPr>
          <w:rFonts w:ascii="Times New Roman" w:hAnsi="Times New Roman" w:cs="Times New Roman"/>
          <w:i/>
          <w:sz w:val="24"/>
          <w:szCs w:val="24"/>
          <w:lang w:val="en-US"/>
        </w:rPr>
        <w:t>Controlled, mild asthma</w:t>
      </w:r>
      <w:r w:rsidR="00821C59" w:rsidRPr="00E10CA3">
        <w:rPr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(OR 7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98, 2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23-28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50) indicating that some elderly people have their asthma in good control and that ageing does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directly cause poor asthma control. Obesity predicts membership of classes with poorer asthma control and poorer compliance. The highest </w:t>
      </w:r>
      <w:proofErr w:type="gramStart"/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odds was</w:t>
      </w:r>
      <w:proofErr w:type="gramEnd"/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Uncontrolled, severe asthma</w:t>
      </w:r>
      <w:r w:rsidR="00404951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03, 2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69-9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41)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Partly controlled, moderate asthma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Uncontrolled asthma</w:t>
      </w:r>
      <w:r w:rsidR="0021081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unknown severity</w:t>
      </w:r>
      <w:r w:rsidR="00404951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had also high odds ratios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whereas </w:t>
      </w:r>
      <w:r w:rsidR="00DF65E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Controlled, mild asthma </w:t>
      </w:r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odds 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for BMI over 30 was low (0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22, 0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04-1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06). Those with allergic diseases were most likely to belong to 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classes 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active medical attention. The odds 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proofErr w:type="gramEnd"/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controlled, moderate asthma</w:t>
      </w:r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65 (1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06-2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56) and for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Uncontrolled, severe asthma</w:t>
      </w:r>
      <w:r w:rsidR="007A385A" w:rsidRPr="00E10CA3">
        <w:rPr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19 (1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20-3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99). COPD-diagnosis was a predictor 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classes with poorer asthma 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>control and severe o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 unknown severity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 xml:space="preserve"> of disease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. For </w:t>
      </w:r>
      <w:r w:rsidR="007A385A" w:rsidRPr="00E10CA3">
        <w:rPr>
          <w:rFonts w:ascii="Times New Roman" w:hAnsi="Times New Roman" w:cs="Times New Roman"/>
          <w:i/>
          <w:sz w:val="24"/>
          <w:szCs w:val="24"/>
          <w:lang w:val="en-US"/>
        </w:rPr>
        <w:t>Uncontrolled, severe asthma</w:t>
      </w:r>
      <w:r w:rsidR="00404951" w:rsidRPr="00E10C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the predictor odds </w:t>
      </w:r>
      <w:r w:rsidR="0003362C">
        <w:rPr>
          <w:rFonts w:ascii="Times New Roman" w:hAnsi="Times New Roman" w:cs="Times New Roman"/>
          <w:sz w:val="24"/>
          <w:szCs w:val="24"/>
          <w:lang w:val="en-US"/>
        </w:rPr>
        <w:t xml:space="preserve">ratio 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was as high as 21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61 (10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>79-43</w:t>
      </w:r>
      <w:r w:rsidR="00821C59" w:rsidRPr="00E10CA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4951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26). </w:t>
      </w:r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 xml:space="preserve">(Table </w:t>
      </w:r>
      <w:proofErr w:type="spellStart"/>
      <w:r w:rsidR="000249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4912" w:rsidRPr="00E10CA3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End"/>
      <w:r w:rsidR="007A385A" w:rsidRPr="00E10CA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06B" w:rsidRDefault="00F7606B">
      <w:pPr>
        <w:rPr>
          <w:rFonts w:ascii="Times New Roman" w:hAnsi="Times New Roman" w:cs="Times New Roman"/>
          <w:sz w:val="24"/>
          <w:szCs w:val="24"/>
          <w:lang w:val="en-US"/>
        </w:rPr>
        <w:sectPr w:rsidR="00F7606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F7606B" w:rsidRDefault="00F7606B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966"/>
        <w:gridCol w:w="985"/>
        <w:gridCol w:w="1151"/>
        <w:gridCol w:w="975"/>
        <w:gridCol w:w="975"/>
        <w:gridCol w:w="975"/>
        <w:gridCol w:w="975"/>
        <w:gridCol w:w="1044"/>
        <w:gridCol w:w="993"/>
        <w:gridCol w:w="850"/>
      </w:tblGrid>
      <w:tr w:rsidR="00F7606B" w:rsidRPr="00DE6B31" w:rsidTr="00F7606B"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024868" w:rsidRDefault="00821C59" w:rsidP="000249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T</w:t>
            </w:r>
            <w:r w:rsidR="00F7606B" w:rsidRPr="00D11FB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able </w:t>
            </w:r>
            <w:proofErr w:type="spellStart"/>
            <w:r w:rsidR="00024912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="00024912" w:rsidRPr="00D11FBF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proofErr w:type="spellEnd"/>
            <w:r w:rsidR="00F7606B" w:rsidRPr="00D11FBF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  <w:r w:rsidR="00F7606B" w:rsidRPr="00D11FB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Fit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Statistics Indicating Best Model F</w:t>
            </w:r>
            <w:r w:rsidR="00F7606B" w:rsidRPr="00D11FBF">
              <w:rPr>
                <w:rFonts w:ascii="Times New Roman" w:hAnsi="Times New Roman" w:cs="Times New Roman"/>
                <w:b/>
                <w:sz w:val="20"/>
                <w:lang w:val="en-US"/>
              </w:rPr>
              <w:t>it</w:t>
            </w:r>
          </w:p>
        </w:tc>
      </w:tr>
      <w:tr w:rsidR="00F7606B" w:rsidRPr="00024868" w:rsidTr="00821C59"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No. of groups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Log-likelihood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G-squared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AIC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BIC</w:t>
            </w: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CAIC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a-BIC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Entropy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DF</w:t>
            </w:r>
          </w:p>
        </w:tc>
      </w:tr>
      <w:tr w:rsidR="00F7606B" w:rsidRPr="00024868" w:rsidTr="00821C59">
        <w:trPr>
          <w:trHeight w:val="153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F7606B" w:rsidRPr="00F86A5C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6A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Whole study population</w:t>
            </w:r>
          </w:p>
        </w:tc>
      </w:tr>
      <w:tr w:rsidR="00F7606B" w:rsidRPr="00024868" w:rsidTr="00821C59">
        <w:trPr>
          <w:trHeight w:val="153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-9483.39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1154.10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1220.10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1404.84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1437.84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-9408.56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1004.43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1104.43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1384.35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1434.35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1225.50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2253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-9326.46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840.23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974.23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1349.32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1416.32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1136.46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2236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-9288.66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764.63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932.63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1402.89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1486.89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1136.02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-9268.57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724.45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926.45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1491.89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1592.89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1171.01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</w:tr>
      <w:tr w:rsidR="00F7606B" w:rsidRPr="00024868" w:rsidTr="00821C59"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06B" w:rsidRPr="00F86A5C" w:rsidRDefault="00680459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Women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-6407.67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987.94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1053.94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1224.63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1257.63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1119.80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-6335.24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843.08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943.08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1201.70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1251.70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1042.88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2253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-6274.08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720.77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854.77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1201.32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1268.32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988.50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2236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-6251.82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676.24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844.24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1278.72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1362.72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1011.89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-6225.79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624.18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826.18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1348.59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1449.59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1027.76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</w:tr>
      <w:tr w:rsidR="00F7606B" w:rsidRPr="00024868" w:rsidTr="00821C59"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606B" w:rsidRPr="00F86A5C" w:rsidRDefault="00680459" w:rsidP="00821C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Men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-3012.81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530.09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596.09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745.90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778.90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641.12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2270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-2986.17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476.80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576.80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803.78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853.78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645.03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2253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-2960.67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425.81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559.81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863.96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930.96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651.22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2236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-2947.89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568.24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949.57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1033.57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682.86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2219</w:t>
            </w:r>
          </w:p>
        </w:tc>
      </w:tr>
      <w:tr w:rsidR="00F7606B" w:rsidRPr="00024868" w:rsidTr="00821C59"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-2924.36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353.18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555.18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1013.68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1114.68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692.99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06B" w:rsidRPr="00D11FBF" w:rsidRDefault="00F7606B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F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2202</w:t>
            </w:r>
          </w:p>
        </w:tc>
      </w:tr>
      <w:tr w:rsidR="00F7606B" w:rsidRPr="00DE6B31" w:rsidTr="00821C59"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06B" w:rsidRPr="00F7606B" w:rsidRDefault="00F7606B" w:rsidP="00DE6B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fit indices in bold indicate best model fit. The best model has been chosen according to the adjusted Bayesian information criterion value and interpretability</w:t>
            </w:r>
          </w:p>
        </w:tc>
      </w:tr>
    </w:tbl>
    <w:p w:rsidR="00F7606B" w:rsidRDefault="00F760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37CF6" w:rsidRPr="00037CF6" w:rsidRDefault="00037CF6">
      <w:pPr>
        <w:rPr>
          <w:rFonts w:ascii="Times New Roman" w:hAnsi="Times New Roman" w:cs="Times New Roman"/>
          <w:sz w:val="24"/>
          <w:szCs w:val="24"/>
          <w:lang w:val="en-US"/>
        </w:rPr>
        <w:sectPr w:rsidR="00037CF6" w:rsidRPr="00037CF6" w:rsidSect="00F7606B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-610"/>
        <w:tblW w:w="5022" w:type="pct"/>
        <w:tblLook w:val="04A0"/>
      </w:tblPr>
      <w:tblGrid>
        <w:gridCol w:w="2369"/>
        <w:gridCol w:w="2365"/>
        <w:gridCol w:w="2368"/>
        <w:gridCol w:w="2365"/>
        <w:gridCol w:w="11"/>
        <w:gridCol w:w="2354"/>
        <w:gridCol w:w="17"/>
        <w:gridCol w:w="26"/>
        <w:gridCol w:w="2408"/>
      </w:tblGrid>
      <w:tr w:rsidR="00037CF6" w:rsidRPr="00DE6B31" w:rsidTr="00821C59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037CF6" w:rsidRDefault="00404951" w:rsidP="000249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Table </w:t>
            </w:r>
            <w:proofErr w:type="spellStart"/>
            <w:r w:rsidR="000249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0249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proofErr w:type="spellEnd"/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Results of the Five Class </w:t>
            </w:r>
            <w:r w:rsidR="00B839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(Subtype) 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037CF6" w:rsidRPr="00037C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odel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for the Whole </w:t>
            </w:r>
            <w:r w:rsidR="00BC10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Study 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="00037CF6" w:rsidRPr="00037C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opulation </w:t>
            </w:r>
          </w:p>
        </w:tc>
      </w:tr>
      <w:tr w:rsidR="00037CF6" w:rsidRPr="00EE230D" w:rsidTr="00821C59">
        <w:trPr>
          <w:trHeight w:val="243"/>
        </w:trPr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7" w:type="pct"/>
            <w:gridSpan w:val="2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Mild</w:t>
            </w: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843" w:type="pct"/>
            <w:gridSpan w:val="4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Unknown severity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Severe</w:t>
            </w:r>
          </w:p>
        </w:tc>
      </w:tr>
      <w:tr w:rsidR="00037CF6" w:rsidRPr="00325FF6" w:rsidTr="00821C59">
        <w:trPr>
          <w:trHeight w:val="227"/>
        </w:trPr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Fully controlled asthma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Controlled asthma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Partly controlled asthma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Uncontrolled asthma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Uncontrolled asthma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 (95% CI)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 (95% CI)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 (95% CI)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 (95% CI)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 (95% CI)</w:t>
            </w:r>
          </w:p>
        </w:tc>
      </w:tr>
      <w:tr w:rsidR="00037CF6" w:rsidRPr="0094536A" w:rsidTr="00821C59">
        <w:trPr>
          <w:trHeight w:val="70"/>
        </w:trPr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Class membership </w:t>
            </w:r>
          </w:p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probabilities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22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14-0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29)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26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20-0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33)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16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13-0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20)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27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18-0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36)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09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06-0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11)</w:t>
            </w:r>
          </w:p>
        </w:tc>
      </w:tr>
      <w:tr w:rsidR="00037CF6" w:rsidRPr="0094536A" w:rsidTr="00821C59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Item Response probabilities</w:t>
            </w:r>
          </w:p>
        </w:tc>
      </w:tr>
      <w:tr w:rsidR="00037CF6" w:rsidRPr="0094536A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Controller</w:t>
            </w:r>
            <w:r w:rsidR="00B839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asthma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medication*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at all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</w:rPr>
              <w:t>23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</w:rPr>
              <w:t>18-0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</w:rPr>
              <w:t>29)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04)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03)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03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01-0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</w:rPr>
              <w:t>02)</w:t>
            </w:r>
          </w:p>
        </w:tc>
      </w:tr>
      <w:tr w:rsidR="00037CF6" w:rsidRPr="00E91B1C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Occasionally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43)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11)        </w:t>
            </w:r>
          </w:p>
        </w:tc>
      </w:tr>
      <w:tr w:rsidR="00037CF6" w:rsidRPr="00E91B1C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64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57-0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71)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64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56-0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71)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86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91)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84-0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98)</w:t>
            </w:r>
          </w:p>
        </w:tc>
      </w:tr>
      <w:tr w:rsidR="00037CF6" w:rsidRPr="00E91B1C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Bronchodilator use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 at all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43-0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63)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06) 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05)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Occasionally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54)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88-1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77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70-0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84)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56)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56)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Daily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13)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41)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42-0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62)       </w:t>
            </w:r>
          </w:p>
        </w:tc>
      </w:tr>
      <w:tr w:rsidR="00037CF6" w:rsidRPr="0094536A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Oral corticosteroid prescriptions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prescriptions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00)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94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89-1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47)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77-0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88)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21)     </w:t>
            </w:r>
          </w:p>
        </w:tc>
      </w:tr>
      <w:tr w:rsidR="00037CF6" w:rsidRPr="00D03BBB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to 2 prescriptions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59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67)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17)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61)        </w:t>
            </w:r>
          </w:p>
        </w:tc>
      </w:tr>
      <w:tr w:rsidR="00037CF6" w:rsidRPr="00D03BBB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&gt;= 3 prescriptions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05)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39)        </w:t>
            </w:r>
          </w:p>
        </w:tc>
      </w:tr>
      <w:tr w:rsidR="00037CF6" w:rsidRPr="00D03BBB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Daily</w:t>
            </w:r>
            <w:r w:rsidR="006B16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corticosteroid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09)      </w:t>
            </w:r>
          </w:p>
        </w:tc>
      </w:tr>
      <w:tr w:rsidR="00037CF6" w:rsidRPr="00D03BBB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Antibiotics use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prescription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00)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96-1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00)   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38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47)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94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97)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31)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prescription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04)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40)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07)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19)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prescription</w:t>
            </w:r>
            <w:r w:rsidR="00B32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25)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or more prescriptions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15) 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61)       </w:t>
            </w:r>
          </w:p>
        </w:tc>
      </w:tr>
      <w:tr w:rsidR="00037CF6" w:rsidRPr="0094536A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7A385A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St. George’s Score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0-7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56-0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71)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20)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12)      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01)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&gt;7-15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44)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36)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22)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&gt;15-27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16) 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29-0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43)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38)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&gt;27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01)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15)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29)       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44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50)   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76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67-0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85)       </w:t>
            </w:r>
          </w:p>
        </w:tc>
      </w:tr>
      <w:tr w:rsidR="00037CF6" w:rsidRPr="00DE6B31" w:rsidTr="00821C59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Health care facility use score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99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98-1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00)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89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85-0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94)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42)     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91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87-0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95)      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32) 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point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02) 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27)        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07)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10)       </w:t>
            </w:r>
          </w:p>
        </w:tc>
      </w:tr>
      <w:tr w:rsidR="00037CF6" w:rsidRPr="0094536A" w:rsidTr="00821C59"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to 3 points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   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39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47)        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07)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43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52)        </w:t>
            </w:r>
          </w:p>
        </w:tc>
      </w:tr>
      <w:tr w:rsidR="00037CF6" w:rsidRPr="00E31542" w:rsidTr="00E10CA3">
        <w:trPr>
          <w:trHeight w:val="171"/>
        </w:trPr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&gt;= 4 points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 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01)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10)       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 (0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00-0</w:t>
            </w:r>
            <w:r w:rsidR="00821C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00)   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F6" w:rsidRPr="00F7606B" w:rsidRDefault="00037CF6" w:rsidP="00821C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 (0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21-0</w:t>
            </w:r>
            <w:r w:rsidR="00821C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F7606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39)        </w:t>
            </w:r>
          </w:p>
        </w:tc>
      </w:tr>
      <w:tr w:rsidR="00037CF6" w:rsidRPr="00DE6B31" w:rsidTr="00E10CA3">
        <w:trPr>
          <w:trHeight w:val="198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</w:tcPr>
          <w:p w:rsidR="00037CF6" w:rsidRPr="00F7606B" w:rsidRDefault="00037CF6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*Inhaled corticosteroids and combination medication (long-acting beta-agonist and corticosteroid) </w:t>
            </w:r>
            <w:r w:rsidR="00B321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included</w:t>
            </w:r>
            <w:r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 controller medication</w:t>
            </w:r>
            <w:r w:rsidR="00384C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  <w:p w:rsidR="00037CF6" w:rsidRPr="00F7606B" w:rsidRDefault="007A385A" w:rsidP="00821C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†</w:t>
            </w:r>
            <w:r w:rsidR="00037CF6"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St. George’s total score </w:t>
            </w:r>
            <w:r w:rsidR="00384C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(SGTS) </w:t>
            </w:r>
            <w:r w:rsidR="00037CF6" w:rsidRPr="00F760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 0-100</w:t>
            </w:r>
          </w:p>
        </w:tc>
      </w:tr>
    </w:tbl>
    <w:p w:rsidR="007B5ADC" w:rsidRDefault="007B5AD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5ADC" w:rsidRDefault="007B5A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tbl>
      <w:tblPr>
        <w:tblStyle w:val="TableGrid1"/>
        <w:tblpPr w:leftFromText="141" w:rightFromText="141" w:vertAnchor="text" w:horzAnchor="margin" w:tblpY="170"/>
        <w:tblW w:w="4474" w:type="pct"/>
        <w:tblLook w:val="04A0"/>
      </w:tblPr>
      <w:tblGrid>
        <w:gridCol w:w="2341"/>
        <w:gridCol w:w="2336"/>
        <w:gridCol w:w="2339"/>
        <w:gridCol w:w="2336"/>
        <w:gridCol w:w="2336"/>
        <w:gridCol w:w="1036"/>
      </w:tblGrid>
      <w:tr w:rsidR="007B5ADC" w:rsidRPr="00DE6B31" w:rsidTr="007A385A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0249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Table </w:t>
            </w:r>
            <w:proofErr w:type="spellStart"/>
            <w:r w:rsidR="000249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0249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proofErr w:type="spellEnd"/>
            <w:r w:rsidRPr="007B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Factors 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Predicting Class</w:t>
            </w:r>
            <w:r w:rsidR="00E85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(i.e. Subtype)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Membership in the Five-Class Model when u</w:t>
            </w:r>
            <w:r w:rsidR="00821C59" w:rsidRPr="007B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sing </w:t>
            </w:r>
            <w:r w:rsidR="00821C5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Mild, Fully Controlled Asthma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21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 the</w:t>
            </w:r>
            <w:r w:rsidR="00821C59" w:rsidRPr="007B5A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Reference Class</w:t>
            </w:r>
          </w:p>
        </w:tc>
      </w:tr>
      <w:tr w:rsidR="007B5ADC" w:rsidRPr="007B5ADC" w:rsidTr="00821C59">
        <w:trPr>
          <w:trHeight w:val="189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F7606B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Mild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F7606B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Moderate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F7606B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Unknown severity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F7606B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Severe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7A385A">
        <w:trPr>
          <w:trHeight w:val="245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821C59" w:rsidRDefault="007B5ADC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Controlled asthma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821C59" w:rsidRDefault="007B5ADC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Partly controlled asthma 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Uncontrolled asthma 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821C59" w:rsidRDefault="007B5ADC" w:rsidP="00821C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Uncontrolled asthma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Odds ratio (95% CI)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Odds ratio (95% CI)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Odds ratio (95% CI)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Odds ratio (95% CI)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LR test P-value*</w:t>
            </w:r>
          </w:p>
        </w:tc>
      </w:tr>
      <w:tr w:rsidR="007B5ADC" w:rsidRPr="007B5ADC" w:rsidTr="00821C5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Gender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1C185D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1C185D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ADC" w:rsidRPr="007B5ADC" w:rsidRDefault="001C185D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ADC" w:rsidRPr="007B5ADC" w:rsidRDefault="001C185D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1.68 (0.84-3.36)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5.30 (2.85-9.83)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1.16 (0.82-1.64)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1.65 (0.96-2.85)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7B5ADC" w:rsidTr="00821C5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Age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 30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30-59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4.74 (1.53-14.72)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1.59 (0.92-2.71)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4.05 (1.99-8.22)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3.92 (1.08-14.30)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≥ 60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7.98 (2.23-28.50)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1.44 (0.68-3.04)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8.62 (4.00-18.57)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5.30 (1.22-23.08)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7B5ADC" w:rsidTr="00821C5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BMI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≤ 25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26-30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1.05 (0.60-1.84)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1.31 (0.75-2.30)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1.41 (0.94-2.12)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1.87 (0.98-3.58)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ind w:left="720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&gt;30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 (0.04-1.06)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2.47 (1.20-5.06)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4.39 (2.86-6.73)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5.03 (2.69-9.41)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7B5ADC" w:rsidTr="00821C5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Allergic diseases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3D6C80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 (0.33-1.52)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1.65 (1.06-2.56)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1.12 (0.79-1.59)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2.19 (1.20-3.99)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DE6B31" w:rsidTr="00821C59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COPD diagnosed by a doctor</w:t>
            </w: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6B5C93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6B5C93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6B5C93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6B5C93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ADC" w:rsidRPr="007B5ADC" w:rsidTr="00821C59"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 (0.10-2.90)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3.00 (1.12-8.03)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8.51 (4.81-15.07)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21.61 (10.79-43.26)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ADC" w:rsidRPr="007B5ADC" w:rsidRDefault="007B5ADC" w:rsidP="007B5AD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</w:tr>
      <w:tr w:rsidR="007B5ADC" w:rsidRPr="00DE6B31" w:rsidTr="00821C59">
        <w:trPr>
          <w:trHeight w:val="198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7B5ADC" w:rsidRPr="007B5ADC" w:rsidRDefault="007B5ADC" w:rsidP="007B5A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 w:colFirst="0" w:colLast="1"/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Likelihood X</w:t>
            </w:r>
            <w:r w:rsidRPr="007B5ADC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-ratio P-value</w:t>
            </w:r>
          </w:p>
          <w:p w:rsidR="007B5ADC" w:rsidRPr="007B5ADC" w:rsidRDefault="007B5ADC" w:rsidP="007B5AD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 Fully controlled, mild asthma not displayed in the table due to it acting as the reference class</w:t>
            </w:r>
            <w:r w:rsidR="00A90B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asthma</w:t>
            </w:r>
            <w:r w:rsidRPr="007B5A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bookmarkEnd w:id="0"/>
    </w:tbl>
    <w:p w:rsidR="00037CF6" w:rsidRDefault="00037C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7CF6" w:rsidSect="00037CF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1304"/>
  <w:hyphenationZone w:val="425"/>
  <w:characterSpacingControl w:val="doNotCompress"/>
  <w:compat/>
  <w:docVars>
    <w:docVar w:name="Total_Editing_Time" w:val="0"/>
  </w:docVars>
  <w:rsids>
    <w:rsidRoot w:val="00037CF6"/>
    <w:rsid w:val="000069D9"/>
    <w:rsid w:val="00007FD2"/>
    <w:rsid w:val="0002489D"/>
    <w:rsid w:val="00024912"/>
    <w:rsid w:val="0003157E"/>
    <w:rsid w:val="00031D49"/>
    <w:rsid w:val="0003362C"/>
    <w:rsid w:val="00037CF6"/>
    <w:rsid w:val="000538EE"/>
    <w:rsid w:val="000539ED"/>
    <w:rsid w:val="0005695C"/>
    <w:rsid w:val="00056F33"/>
    <w:rsid w:val="00057F14"/>
    <w:rsid w:val="00061AAD"/>
    <w:rsid w:val="00063368"/>
    <w:rsid w:val="00072597"/>
    <w:rsid w:val="00075E85"/>
    <w:rsid w:val="000764C2"/>
    <w:rsid w:val="000901F8"/>
    <w:rsid w:val="0009307A"/>
    <w:rsid w:val="0009401E"/>
    <w:rsid w:val="000B2C59"/>
    <w:rsid w:val="000B5BFC"/>
    <w:rsid w:val="000E216F"/>
    <w:rsid w:val="000E4C45"/>
    <w:rsid w:val="000F5F12"/>
    <w:rsid w:val="0011117E"/>
    <w:rsid w:val="0011337F"/>
    <w:rsid w:val="00113C70"/>
    <w:rsid w:val="00124CC4"/>
    <w:rsid w:val="00127980"/>
    <w:rsid w:val="001322B8"/>
    <w:rsid w:val="00145219"/>
    <w:rsid w:val="00151933"/>
    <w:rsid w:val="00152220"/>
    <w:rsid w:val="00156F95"/>
    <w:rsid w:val="001655CF"/>
    <w:rsid w:val="00166704"/>
    <w:rsid w:val="0018341A"/>
    <w:rsid w:val="0018352F"/>
    <w:rsid w:val="0019184B"/>
    <w:rsid w:val="001971AD"/>
    <w:rsid w:val="001A566D"/>
    <w:rsid w:val="001B27FB"/>
    <w:rsid w:val="001B7072"/>
    <w:rsid w:val="001C185D"/>
    <w:rsid w:val="001C257B"/>
    <w:rsid w:val="001C2629"/>
    <w:rsid w:val="001D4708"/>
    <w:rsid w:val="001E0BCF"/>
    <w:rsid w:val="001E654F"/>
    <w:rsid w:val="001F5843"/>
    <w:rsid w:val="00204756"/>
    <w:rsid w:val="0021081E"/>
    <w:rsid w:val="00224719"/>
    <w:rsid w:val="00227E76"/>
    <w:rsid w:val="00261FA3"/>
    <w:rsid w:val="00273837"/>
    <w:rsid w:val="0027512D"/>
    <w:rsid w:val="00275857"/>
    <w:rsid w:val="00277852"/>
    <w:rsid w:val="00283BE2"/>
    <w:rsid w:val="00286698"/>
    <w:rsid w:val="002A28A9"/>
    <w:rsid w:val="002B0696"/>
    <w:rsid w:val="002B4852"/>
    <w:rsid w:val="002C03C0"/>
    <w:rsid w:val="002C1233"/>
    <w:rsid w:val="002C32F1"/>
    <w:rsid w:val="002D1B78"/>
    <w:rsid w:val="002D2C50"/>
    <w:rsid w:val="002D53C0"/>
    <w:rsid w:val="002E3E01"/>
    <w:rsid w:val="002E3E6A"/>
    <w:rsid w:val="002E4F44"/>
    <w:rsid w:val="002F5AFB"/>
    <w:rsid w:val="002F5CC9"/>
    <w:rsid w:val="00300878"/>
    <w:rsid w:val="00310BFF"/>
    <w:rsid w:val="00375DF2"/>
    <w:rsid w:val="00384CEE"/>
    <w:rsid w:val="0039264F"/>
    <w:rsid w:val="003C242D"/>
    <w:rsid w:val="003C4EFB"/>
    <w:rsid w:val="003C7193"/>
    <w:rsid w:val="003D16BB"/>
    <w:rsid w:val="003D5A9D"/>
    <w:rsid w:val="003D6C80"/>
    <w:rsid w:val="003E6879"/>
    <w:rsid w:val="003F4E67"/>
    <w:rsid w:val="003F539F"/>
    <w:rsid w:val="003F7E8E"/>
    <w:rsid w:val="00404951"/>
    <w:rsid w:val="00410EB6"/>
    <w:rsid w:val="00413CE4"/>
    <w:rsid w:val="00425F43"/>
    <w:rsid w:val="00435719"/>
    <w:rsid w:val="00436728"/>
    <w:rsid w:val="004376E0"/>
    <w:rsid w:val="004406DA"/>
    <w:rsid w:val="00440746"/>
    <w:rsid w:val="00443DCE"/>
    <w:rsid w:val="00461075"/>
    <w:rsid w:val="00462AAD"/>
    <w:rsid w:val="0046675A"/>
    <w:rsid w:val="00467E02"/>
    <w:rsid w:val="004762E2"/>
    <w:rsid w:val="00484C90"/>
    <w:rsid w:val="00485715"/>
    <w:rsid w:val="0049015B"/>
    <w:rsid w:val="004B2AD8"/>
    <w:rsid w:val="004D1AF6"/>
    <w:rsid w:val="004D33CD"/>
    <w:rsid w:val="004D6343"/>
    <w:rsid w:val="004D66E6"/>
    <w:rsid w:val="004D7CC7"/>
    <w:rsid w:val="004F1209"/>
    <w:rsid w:val="004F1A64"/>
    <w:rsid w:val="004F3F8E"/>
    <w:rsid w:val="005039F3"/>
    <w:rsid w:val="005123BA"/>
    <w:rsid w:val="0051451A"/>
    <w:rsid w:val="00521FF1"/>
    <w:rsid w:val="00526FA7"/>
    <w:rsid w:val="00531CFE"/>
    <w:rsid w:val="00532AB0"/>
    <w:rsid w:val="0053774B"/>
    <w:rsid w:val="0054214C"/>
    <w:rsid w:val="0056597E"/>
    <w:rsid w:val="00573DCA"/>
    <w:rsid w:val="00576674"/>
    <w:rsid w:val="00585864"/>
    <w:rsid w:val="00586F9E"/>
    <w:rsid w:val="00595085"/>
    <w:rsid w:val="005B4F86"/>
    <w:rsid w:val="005B63D9"/>
    <w:rsid w:val="005C1BFD"/>
    <w:rsid w:val="005C68AD"/>
    <w:rsid w:val="005D3233"/>
    <w:rsid w:val="005E16C7"/>
    <w:rsid w:val="005F185C"/>
    <w:rsid w:val="00601D05"/>
    <w:rsid w:val="00615608"/>
    <w:rsid w:val="00616B1D"/>
    <w:rsid w:val="00624328"/>
    <w:rsid w:val="00625E56"/>
    <w:rsid w:val="006304BA"/>
    <w:rsid w:val="00633872"/>
    <w:rsid w:val="0063483B"/>
    <w:rsid w:val="006375F8"/>
    <w:rsid w:val="00646802"/>
    <w:rsid w:val="00653A84"/>
    <w:rsid w:val="00664787"/>
    <w:rsid w:val="00674286"/>
    <w:rsid w:val="00674716"/>
    <w:rsid w:val="00677FF5"/>
    <w:rsid w:val="00680459"/>
    <w:rsid w:val="00682504"/>
    <w:rsid w:val="00691671"/>
    <w:rsid w:val="006958AE"/>
    <w:rsid w:val="006B1670"/>
    <w:rsid w:val="006B246A"/>
    <w:rsid w:val="006B37F2"/>
    <w:rsid w:val="006B5C93"/>
    <w:rsid w:val="006C0BAC"/>
    <w:rsid w:val="006D479C"/>
    <w:rsid w:val="006D5667"/>
    <w:rsid w:val="006D56FC"/>
    <w:rsid w:val="006E0AA2"/>
    <w:rsid w:val="006F0A05"/>
    <w:rsid w:val="006F1C27"/>
    <w:rsid w:val="006F3C87"/>
    <w:rsid w:val="00705672"/>
    <w:rsid w:val="00711E7C"/>
    <w:rsid w:val="00717C96"/>
    <w:rsid w:val="0073062E"/>
    <w:rsid w:val="007450FC"/>
    <w:rsid w:val="00745331"/>
    <w:rsid w:val="00751135"/>
    <w:rsid w:val="00754798"/>
    <w:rsid w:val="007548A3"/>
    <w:rsid w:val="00755ADD"/>
    <w:rsid w:val="007644AF"/>
    <w:rsid w:val="00792EFE"/>
    <w:rsid w:val="007A385A"/>
    <w:rsid w:val="007B2793"/>
    <w:rsid w:val="007B5ADC"/>
    <w:rsid w:val="007D0BD4"/>
    <w:rsid w:val="007E3557"/>
    <w:rsid w:val="007E4032"/>
    <w:rsid w:val="007E73F7"/>
    <w:rsid w:val="007F3F2B"/>
    <w:rsid w:val="007F64CD"/>
    <w:rsid w:val="0080176A"/>
    <w:rsid w:val="008177F1"/>
    <w:rsid w:val="00821C59"/>
    <w:rsid w:val="00826852"/>
    <w:rsid w:val="00834ABD"/>
    <w:rsid w:val="00837197"/>
    <w:rsid w:val="00840A10"/>
    <w:rsid w:val="00850F4A"/>
    <w:rsid w:val="00854BBB"/>
    <w:rsid w:val="00861BC3"/>
    <w:rsid w:val="008718A1"/>
    <w:rsid w:val="00875699"/>
    <w:rsid w:val="00881276"/>
    <w:rsid w:val="008A341B"/>
    <w:rsid w:val="008A6B3D"/>
    <w:rsid w:val="008A7FCB"/>
    <w:rsid w:val="008B53EB"/>
    <w:rsid w:val="008D5400"/>
    <w:rsid w:val="008E257B"/>
    <w:rsid w:val="008E4D03"/>
    <w:rsid w:val="008F7A47"/>
    <w:rsid w:val="00905647"/>
    <w:rsid w:val="00905FB3"/>
    <w:rsid w:val="00916802"/>
    <w:rsid w:val="00917545"/>
    <w:rsid w:val="00922400"/>
    <w:rsid w:val="00922E0D"/>
    <w:rsid w:val="009326E3"/>
    <w:rsid w:val="00933098"/>
    <w:rsid w:val="00933B1C"/>
    <w:rsid w:val="009370D2"/>
    <w:rsid w:val="0096166E"/>
    <w:rsid w:val="00965CC0"/>
    <w:rsid w:val="00965D49"/>
    <w:rsid w:val="009770E2"/>
    <w:rsid w:val="009814E3"/>
    <w:rsid w:val="00983F0B"/>
    <w:rsid w:val="0099417C"/>
    <w:rsid w:val="00997A4D"/>
    <w:rsid w:val="009A1AE2"/>
    <w:rsid w:val="009A70ED"/>
    <w:rsid w:val="009A72D0"/>
    <w:rsid w:val="009B4181"/>
    <w:rsid w:val="009C1D34"/>
    <w:rsid w:val="009C1D83"/>
    <w:rsid w:val="009D0611"/>
    <w:rsid w:val="009D121A"/>
    <w:rsid w:val="009D2AF1"/>
    <w:rsid w:val="009E2AF3"/>
    <w:rsid w:val="009E7213"/>
    <w:rsid w:val="009F34C2"/>
    <w:rsid w:val="00A03141"/>
    <w:rsid w:val="00A113D8"/>
    <w:rsid w:val="00A12150"/>
    <w:rsid w:val="00A30C70"/>
    <w:rsid w:val="00A410B2"/>
    <w:rsid w:val="00A43D64"/>
    <w:rsid w:val="00A44364"/>
    <w:rsid w:val="00A50BA8"/>
    <w:rsid w:val="00A53E67"/>
    <w:rsid w:val="00A54318"/>
    <w:rsid w:val="00A5557B"/>
    <w:rsid w:val="00A7681A"/>
    <w:rsid w:val="00A76E16"/>
    <w:rsid w:val="00A8522A"/>
    <w:rsid w:val="00A90B9A"/>
    <w:rsid w:val="00AA015E"/>
    <w:rsid w:val="00AA0609"/>
    <w:rsid w:val="00AA468B"/>
    <w:rsid w:val="00AA5A42"/>
    <w:rsid w:val="00AB19CA"/>
    <w:rsid w:val="00AB2E2F"/>
    <w:rsid w:val="00AB797B"/>
    <w:rsid w:val="00AC4935"/>
    <w:rsid w:val="00AC6340"/>
    <w:rsid w:val="00AE5CDD"/>
    <w:rsid w:val="00AF7838"/>
    <w:rsid w:val="00B0006E"/>
    <w:rsid w:val="00B01215"/>
    <w:rsid w:val="00B1044E"/>
    <w:rsid w:val="00B243E5"/>
    <w:rsid w:val="00B276EE"/>
    <w:rsid w:val="00B32148"/>
    <w:rsid w:val="00B329FB"/>
    <w:rsid w:val="00B5073B"/>
    <w:rsid w:val="00B52B36"/>
    <w:rsid w:val="00B56867"/>
    <w:rsid w:val="00B56C46"/>
    <w:rsid w:val="00B571E5"/>
    <w:rsid w:val="00B65A07"/>
    <w:rsid w:val="00B77739"/>
    <w:rsid w:val="00B839D7"/>
    <w:rsid w:val="00B87E83"/>
    <w:rsid w:val="00BC1031"/>
    <w:rsid w:val="00BC390D"/>
    <w:rsid w:val="00BC48E5"/>
    <w:rsid w:val="00BC5A69"/>
    <w:rsid w:val="00BE084B"/>
    <w:rsid w:val="00BF085A"/>
    <w:rsid w:val="00BF268E"/>
    <w:rsid w:val="00BF486D"/>
    <w:rsid w:val="00BF5F30"/>
    <w:rsid w:val="00C01178"/>
    <w:rsid w:val="00C05AB8"/>
    <w:rsid w:val="00C06B0C"/>
    <w:rsid w:val="00C11C15"/>
    <w:rsid w:val="00C2107F"/>
    <w:rsid w:val="00C22DA1"/>
    <w:rsid w:val="00C40196"/>
    <w:rsid w:val="00C507F4"/>
    <w:rsid w:val="00C57F9C"/>
    <w:rsid w:val="00C65520"/>
    <w:rsid w:val="00C65C84"/>
    <w:rsid w:val="00C678E5"/>
    <w:rsid w:val="00C726BF"/>
    <w:rsid w:val="00C7543F"/>
    <w:rsid w:val="00C76B71"/>
    <w:rsid w:val="00C83592"/>
    <w:rsid w:val="00C85D1B"/>
    <w:rsid w:val="00C86BB6"/>
    <w:rsid w:val="00C945FE"/>
    <w:rsid w:val="00CB1143"/>
    <w:rsid w:val="00CB2D37"/>
    <w:rsid w:val="00CB4572"/>
    <w:rsid w:val="00CC2E76"/>
    <w:rsid w:val="00CC2FFF"/>
    <w:rsid w:val="00CC4814"/>
    <w:rsid w:val="00CC6EE4"/>
    <w:rsid w:val="00CE58CB"/>
    <w:rsid w:val="00CF0823"/>
    <w:rsid w:val="00CF55C8"/>
    <w:rsid w:val="00D05F67"/>
    <w:rsid w:val="00D11198"/>
    <w:rsid w:val="00D2128A"/>
    <w:rsid w:val="00D24267"/>
    <w:rsid w:val="00D27F87"/>
    <w:rsid w:val="00D32841"/>
    <w:rsid w:val="00D331C9"/>
    <w:rsid w:val="00D33A7A"/>
    <w:rsid w:val="00D345B1"/>
    <w:rsid w:val="00D37679"/>
    <w:rsid w:val="00D44DC3"/>
    <w:rsid w:val="00D47A13"/>
    <w:rsid w:val="00D54E8A"/>
    <w:rsid w:val="00D629A3"/>
    <w:rsid w:val="00D62B5B"/>
    <w:rsid w:val="00D66E54"/>
    <w:rsid w:val="00D76433"/>
    <w:rsid w:val="00D803B0"/>
    <w:rsid w:val="00DA18E8"/>
    <w:rsid w:val="00DC532F"/>
    <w:rsid w:val="00DC5D40"/>
    <w:rsid w:val="00DC7D92"/>
    <w:rsid w:val="00DD4DF7"/>
    <w:rsid w:val="00DD5150"/>
    <w:rsid w:val="00DE6B31"/>
    <w:rsid w:val="00DF65EA"/>
    <w:rsid w:val="00DF67E3"/>
    <w:rsid w:val="00E079AE"/>
    <w:rsid w:val="00E10CA3"/>
    <w:rsid w:val="00E10EB4"/>
    <w:rsid w:val="00E135EB"/>
    <w:rsid w:val="00E16B4B"/>
    <w:rsid w:val="00E24CBF"/>
    <w:rsid w:val="00E26AB5"/>
    <w:rsid w:val="00E35A3D"/>
    <w:rsid w:val="00E36801"/>
    <w:rsid w:val="00E41AAA"/>
    <w:rsid w:val="00E54CFA"/>
    <w:rsid w:val="00E641CB"/>
    <w:rsid w:val="00E64497"/>
    <w:rsid w:val="00E65255"/>
    <w:rsid w:val="00E7408D"/>
    <w:rsid w:val="00E82B61"/>
    <w:rsid w:val="00E833B6"/>
    <w:rsid w:val="00E85929"/>
    <w:rsid w:val="00E97F08"/>
    <w:rsid w:val="00EA0671"/>
    <w:rsid w:val="00EA4569"/>
    <w:rsid w:val="00EA4C37"/>
    <w:rsid w:val="00EC0F3A"/>
    <w:rsid w:val="00EC23F1"/>
    <w:rsid w:val="00ED4A1D"/>
    <w:rsid w:val="00EE2295"/>
    <w:rsid w:val="00EF1EC5"/>
    <w:rsid w:val="00EF40FA"/>
    <w:rsid w:val="00F0431C"/>
    <w:rsid w:val="00F05B54"/>
    <w:rsid w:val="00F07CF6"/>
    <w:rsid w:val="00F21DC8"/>
    <w:rsid w:val="00F320FD"/>
    <w:rsid w:val="00F327D2"/>
    <w:rsid w:val="00F35D47"/>
    <w:rsid w:val="00F45D45"/>
    <w:rsid w:val="00F63658"/>
    <w:rsid w:val="00F722CD"/>
    <w:rsid w:val="00F748E8"/>
    <w:rsid w:val="00F7606B"/>
    <w:rsid w:val="00F8333B"/>
    <w:rsid w:val="00F86893"/>
    <w:rsid w:val="00F87EC5"/>
    <w:rsid w:val="00F91632"/>
    <w:rsid w:val="00F916A7"/>
    <w:rsid w:val="00F97A90"/>
    <w:rsid w:val="00FA1980"/>
    <w:rsid w:val="00FB779D"/>
    <w:rsid w:val="00FC7987"/>
    <w:rsid w:val="00FE5058"/>
    <w:rsid w:val="00FF3922"/>
    <w:rsid w:val="00FF5C5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4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customStyle="1" w:styleId="TableGrid1">
    <w:name w:val="Table Grid1"/>
    <w:basedOn w:val="TableNormal"/>
    <w:next w:val="TableGrid"/>
    <w:uiPriority w:val="59"/>
    <w:rsid w:val="007B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4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table" w:customStyle="1" w:styleId="TableGrid1">
    <w:name w:val="Table Grid1"/>
    <w:basedOn w:val="TableNormal"/>
    <w:next w:val="TableGrid"/>
    <w:uiPriority w:val="59"/>
    <w:rsid w:val="007B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1384</Words>
  <Characters>8222</Characters>
  <Application>Microsoft Office Word</Application>
  <DocSecurity>0</DocSecurity>
  <Lines>548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Mäkikyrö</dc:creator>
  <cp:lastModifiedBy>CSABAY</cp:lastModifiedBy>
  <cp:revision>3</cp:revision>
  <dcterms:created xsi:type="dcterms:W3CDTF">2016-09-27T13:17:00Z</dcterms:created>
  <dcterms:modified xsi:type="dcterms:W3CDTF">2017-01-16T23:38:00Z</dcterms:modified>
</cp:coreProperties>
</file>