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25" w:rsidRDefault="002E7725" w:rsidP="002E7725">
      <w:pPr>
        <w:pStyle w:val="EndNoteBibliography"/>
        <w:spacing w:after="240"/>
        <w:rPr>
          <w:b/>
        </w:rPr>
      </w:pPr>
      <w:proofErr w:type="gramStart"/>
      <w:r>
        <w:rPr>
          <w:b/>
        </w:rPr>
        <w:t>Additional File 1</w:t>
      </w:r>
      <w:bookmarkStart w:id="0" w:name="_GoBack"/>
      <w:bookmarkEnd w:id="0"/>
      <w:r>
        <w:rPr>
          <w:b/>
        </w:rPr>
        <w:t>.</w:t>
      </w:r>
      <w:proofErr w:type="gramEnd"/>
      <w:r>
        <w:rPr>
          <w:b/>
        </w:rPr>
        <w:t xml:space="preserve"> Improvement in COPD disease factors in the model at time = 0.</w:t>
      </w:r>
    </w:p>
    <w:p w:rsidR="002E7725" w:rsidRPr="0069468B" w:rsidRDefault="002E7725" w:rsidP="002E7725">
      <w:pPr>
        <w:pStyle w:val="EndNoteBibliography"/>
        <w:spacing w:after="240"/>
      </w:pPr>
      <w:r>
        <w:t>Description of the improvements in COPD disease factors built into the model at time 0 (i.e. the beginning of the cycle), when FEV</w:t>
      </w:r>
      <w:r w:rsidRPr="0069468B">
        <w:rPr>
          <w:vertAlign w:val="subscript"/>
        </w:rPr>
        <w:t>1</w:t>
      </w:r>
      <w:r>
        <w:t xml:space="preserve"> benefit has been included.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1"/>
        <w:gridCol w:w="1394"/>
        <w:gridCol w:w="1397"/>
        <w:gridCol w:w="1398"/>
        <w:gridCol w:w="1398"/>
        <w:gridCol w:w="1398"/>
        <w:gridCol w:w="1398"/>
        <w:gridCol w:w="1607"/>
        <w:gridCol w:w="1398"/>
        <w:gridCol w:w="1395"/>
      </w:tblGrid>
      <w:tr w:rsidR="002E7725" w:rsidTr="003160E2">
        <w:tc>
          <w:tcPr>
            <w:tcW w:w="491" w:type="pct"/>
          </w:tcPr>
          <w:p w:rsidR="002E7725" w:rsidRDefault="002E7725" w:rsidP="003160E2">
            <w:pPr>
              <w:pStyle w:val="EndNoteBibliography"/>
              <w:rPr>
                <w:b/>
              </w:rPr>
            </w:pPr>
            <w:r>
              <w:rPr>
                <w:b/>
              </w:rPr>
              <w:t>Treatment</w:t>
            </w:r>
          </w:p>
        </w:tc>
        <w:tc>
          <w:tcPr>
            <w:tcW w:w="492" w:type="pct"/>
          </w:tcPr>
          <w:p w:rsidR="002E7725" w:rsidRPr="00F9245B" w:rsidRDefault="002E7725" w:rsidP="003160E2">
            <w:pPr>
              <w:pStyle w:val="EndNoteBibliography"/>
              <w:rPr>
                <w:b/>
              </w:rPr>
            </w:pPr>
            <w:r>
              <w:rPr>
                <w:b/>
              </w:rPr>
              <w:t>Starting FEV</w:t>
            </w:r>
            <w:r w:rsidRPr="00B534E3">
              <w:rPr>
                <w:b/>
                <w:vertAlign w:val="subscript"/>
              </w:rPr>
              <w:t>1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(mL)</w:t>
            </w:r>
          </w:p>
        </w:tc>
        <w:tc>
          <w:tcPr>
            <w:tcW w:w="493" w:type="pct"/>
          </w:tcPr>
          <w:p w:rsidR="002E7725" w:rsidRDefault="002E7725" w:rsidP="003160E2">
            <w:pPr>
              <w:pStyle w:val="EndNoteBibliography"/>
              <w:rPr>
                <w:b/>
              </w:rPr>
            </w:pPr>
            <w:r>
              <w:rPr>
                <w:b/>
              </w:rPr>
              <w:t>FEV</w:t>
            </w:r>
            <w:r w:rsidRPr="00B534E3">
              <w:rPr>
                <w:b/>
                <w:vertAlign w:val="subscript"/>
              </w:rPr>
              <w:t>1</w:t>
            </w:r>
            <w:r>
              <w:rPr>
                <w:b/>
                <w:vertAlign w:val="subscript"/>
              </w:rPr>
              <w:t xml:space="preserve"> </w:t>
            </w:r>
            <w:r w:rsidRPr="00D43F19">
              <w:rPr>
                <w:b/>
              </w:rPr>
              <w:t xml:space="preserve">absolute </w:t>
            </w:r>
            <w:r>
              <w:rPr>
                <w:b/>
              </w:rPr>
              <w:t>treatment effect (mL)</w:t>
            </w:r>
          </w:p>
        </w:tc>
        <w:tc>
          <w:tcPr>
            <w:tcW w:w="493" w:type="pct"/>
          </w:tcPr>
          <w:p w:rsidR="002E7725" w:rsidRDefault="002E7725" w:rsidP="003160E2">
            <w:pPr>
              <w:pStyle w:val="EndNoteBibliography"/>
              <w:rPr>
                <w:b/>
              </w:rPr>
            </w:pPr>
            <w:r>
              <w:rPr>
                <w:b/>
              </w:rPr>
              <w:t>FEV % predicted</w:t>
            </w:r>
          </w:p>
        </w:tc>
        <w:tc>
          <w:tcPr>
            <w:tcW w:w="493" w:type="pct"/>
          </w:tcPr>
          <w:p w:rsidR="002E7725" w:rsidRDefault="002E7725" w:rsidP="003160E2">
            <w:pPr>
              <w:pStyle w:val="EndNoteBibliography"/>
              <w:rPr>
                <w:b/>
              </w:rPr>
            </w:pPr>
            <w:r>
              <w:rPr>
                <w:b/>
              </w:rPr>
              <w:t>Dyspnea (no days)</w:t>
            </w:r>
          </w:p>
        </w:tc>
        <w:tc>
          <w:tcPr>
            <w:tcW w:w="493" w:type="pct"/>
          </w:tcPr>
          <w:p w:rsidR="002E7725" w:rsidRDefault="002E7725" w:rsidP="003160E2">
            <w:pPr>
              <w:pStyle w:val="EndNoteBibliography"/>
              <w:rPr>
                <w:b/>
              </w:rPr>
            </w:pPr>
            <w:r>
              <w:rPr>
                <w:b/>
              </w:rPr>
              <w:t>Dyspnea (several days)</w:t>
            </w:r>
          </w:p>
        </w:tc>
        <w:tc>
          <w:tcPr>
            <w:tcW w:w="493" w:type="pct"/>
          </w:tcPr>
          <w:p w:rsidR="002E7725" w:rsidRDefault="002E7725" w:rsidP="003160E2">
            <w:pPr>
              <w:pStyle w:val="EndNoteBibliography"/>
              <w:rPr>
                <w:b/>
              </w:rPr>
            </w:pPr>
            <w:r>
              <w:rPr>
                <w:b/>
              </w:rPr>
              <w:t>Dyspnea (most days)</w:t>
            </w:r>
          </w:p>
        </w:tc>
        <w:tc>
          <w:tcPr>
            <w:tcW w:w="567" w:type="pct"/>
          </w:tcPr>
          <w:p w:rsidR="002E7725" w:rsidRDefault="002E7725" w:rsidP="003160E2">
            <w:pPr>
              <w:pStyle w:val="EndNoteBibliography"/>
              <w:rPr>
                <w:b/>
              </w:rPr>
            </w:pPr>
            <w:r>
              <w:rPr>
                <w:b/>
              </w:rPr>
              <w:t>Cough/sputum</w:t>
            </w:r>
          </w:p>
        </w:tc>
        <w:tc>
          <w:tcPr>
            <w:tcW w:w="493" w:type="pct"/>
          </w:tcPr>
          <w:p w:rsidR="002E7725" w:rsidRDefault="002E7725" w:rsidP="003160E2">
            <w:pPr>
              <w:pStyle w:val="EndNoteBibliography"/>
              <w:rPr>
                <w:b/>
              </w:rPr>
            </w:pPr>
            <w:r w:rsidRPr="00995F8A">
              <w:rPr>
                <w:b/>
              </w:rPr>
              <w:t>6MW</w:t>
            </w:r>
            <w:r>
              <w:rPr>
                <w:b/>
              </w:rPr>
              <w:t>T distance (m)</w:t>
            </w:r>
          </w:p>
        </w:tc>
        <w:tc>
          <w:tcPr>
            <w:tcW w:w="492" w:type="pct"/>
          </w:tcPr>
          <w:p w:rsidR="002E7725" w:rsidRDefault="002E7725" w:rsidP="003160E2">
            <w:pPr>
              <w:pStyle w:val="EndNoteBibliography"/>
              <w:rPr>
                <w:b/>
              </w:rPr>
            </w:pPr>
            <w:r>
              <w:rPr>
                <w:b/>
              </w:rPr>
              <w:t>SGRQ-C</w:t>
            </w:r>
          </w:p>
        </w:tc>
      </w:tr>
      <w:tr w:rsidR="002E7725" w:rsidTr="003160E2">
        <w:tc>
          <w:tcPr>
            <w:tcW w:w="491" w:type="pct"/>
          </w:tcPr>
          <w:p w:rsidR="002E7725" w:rsidRDefault="002E7725" w:rsidP="003160E2">
            <w:pPr>
              <w:pStyle w:val="EndNoteBibliography"/>
              <w:rPr>
                <w:b/>
              </w:rPr>
            </w:pPr>
            <w:r>
              <w:rPr>
                <w:b/>
              </w:rPr>
              <w:t>UMEC/VI</w:t>
            </w:r>
          </w:p>
        </w:tc>
        <w:tc>
          <w:tcPr>
            <w:tcW w:w="492" w:type="pct"/>
          </w:tcPr>
          <w:p w:rsidR="002E7725" w:rsidRPr="009A5B14" w:rsidRDefault="002E7725" w:rsidP="003160E2">
            <w:pPr>
              <w:pStyle w:val="EndNoteBibliography"/>
            </w:pPr>
            <w:r>
              <w:t>1563</w:t>
            </w:r>
          </w:p>
        </w:tc>
        <w:tc>
          <w:tcPr>
            <w:tcW w:w="493" w:type="pct"/>
          </w:tcPr>
          <w:p w:rsidR="002E7725" w:rsidRPr="009A5B14" w:rsidRDefault="002E7725" w:rsidP="003160E2">
            <w:pPr>
              <w:pStyle w:val="EndNoteBibliography"/>
            </w:pPr>
            <w:r w:rsidRPr="009A5B14">
              <w:t>+180</w:t>
            </w:r>
          </w:p>
        </w:tc>
        <w:tc>
          <w:tcPr>
            <w:tcW w:w="493" w:type="pct"/>
          </w:tcPr>
          <w:p w:rsidR="002E7725" w:rsidRPr="009A5B14" w:rsidRDefault="002E7725" w:rsidP="003160E2">
            <w:pPr>
              <w:pStyle w:val="EndNoteBibliography"/>
            </w:pPr>
            <w:r w:rsidRPr="009A5B14">
              <w:t>+6.8%</w:t>
            </w:r>
          </w:p>
        </w:tc>
        <w:tc>
          <w:tcPr>
            <w:tcW w:w="493" w:type="pct"/>
          </w:tcPr>
          <w:p w:rsidR="002E7725" w:rsidRPr="009A5B14" w:rsidRDefault="002E7725" w:rsidP="003160E2">
            <w:pPr>
              <w:pStyle w:val="EndNoteBibliography"/>
            </w:pPr>
            <w:r w:rsidRPr="009A5B14">
              <w:t>+1.1%</w:t>
            </w:r>
          </w:p>
        </w:tc>
        <w:tc>
          <w:tcPr>
            <w:tcW w:w="493" w:type="pct"/>
          </w:tcPr>
          <w:p w:rsidR="002E7725" w:rsidRPr="009A5B14" w:rsidRDefault="002E7725" w:rsidP="003160E2">
            <w:pPr>
              <w:pStyle w:val="EndNoteBibliography"/>
            </w:pPr>
            <w:r w:rsidRPr="009A5B14">
              <w:t>+5.5%</w:t>
            </w:r>
          </w:p>
        </w:tc>
        <w:tc>
          <w:tcPr>
            <w:tcW w:w="493" w:type="pct"/>
          </w:tcPr>
          <w:p w:rsidR="002E7725" w:rsidRPr="009A5B14" w:rsidRDefault="002E7725" w:rsidP="003160E2">
            <w:pPr>
              <w:pStyle w:val="EndNoteBibliography"/>
            </w:pPr>
            <w:r>
              <w:t>−</w:t>
            </w:r>
            <w:r w:rsidRPr="009A5B14">
              <w:t>6.6%</w:t>
            </w:r>
          </w:p>
        </w:tc>
        <w:tc>
          <w:tcPr>
            <w:tcW w:w="567" w:type="pct"/>
          </w:tcPr>
          <w:p w:rsidR="002E7725" w:rsidRPr="009A5B14" w:rsidRDefault="002E7725" w:rsidP="003160E2">
            <w:pPr>
              <w:pStyle w:val="EndNoteBibliography"/>
            </w:pPr>
            <w:r>
              <w:t>−</w:t>
            </w:r>
            <w:r w:rsidRPr="009A5B14">
              <w:t>0.9%</w:t>
            </w:r>
          </w:p>
        </w:tc>
        <w:tc>
          <w:tcPr>
            <w:tcW w:w="493" w:type="pct"/>
          </w:tcPr>
          <w:p w:rsidR="002E7725" w:rsidRPr="009A5B14" w:rsidRDefault="002E7725" w:rsidP="003160E2">
            <w:pPr>
              <w:pStyle w:val="EndNoteBibliography"/>
            </w:pPr>
            <w:r w:rsidRPr="009A5B14">
              <w:t>+10.8</w:t>
            </w:r>
          </w:p>
        </w:tc>
        <w:tc>
          <w:tcPr>
            <w:tcW w:w="492" w:type="pct"/>
          </w:tcPr>
          <w:p w:rsidR="002E7725" w:rsidRPr="009A5B14" w:rsidRDefault="002E7725" w:rsidP="003160E2">
            <w:pPr>
              <w:pStyle w:val="EndNoteBibliography"/>
            </w:pPr>
            <w:r>
              <w:t>−</w:t>
            </w:r>
            <w:r w:rsidRPr="009A5B14">
              <w:t>1.9</w:t>
            </w:r>
          </w:p>
        </w:tc>
      </w:tr>
      <w:tr w:rsidR="002E7725" w:rsidTr="003160E2">
        <w:tc>
          <w:tcPr>
            <w:tcW w:w="491" w:type="pct"/>
          </w:tcPr>
          <w:p w:rsidR="002E7725" w:rsidRDefault="002E7725" w:rsidP="003160E2">
            <w:pPr>
              <w:pStyle w:val="EndNoteBibliography"/>
              <w:rPr>
                <w:b/>
              </w:rPr>
            </w:pPr>
            <w:r>
              <w:rPr>
                <w:b/>
              </w:rPr>
              <w:t>TIO/OLO</w:t>
            </w:r>
          </w:p>
        </w:tc>
        <w:tc>
          <w:tcPr>
            <w:tcW w:w="492" w:type="pct"/>
          </w:tcPr>
          <w:p w:rsidR="002E7725" w:rsidRPr="009A5B14" w:rsidRDefault="002E7725" w:rsidP="003160E2">
            <w:pPr>
              <w:pStyle w:val="EndNoteBibliography"/>
            </w:pPr>
            <w:r>
              <w:t>1563</w:t>
            </w:r>
          </w:p>
        </w:tc>
        <w:tc>
          <w:tcPr>
            <w:tcW w:w="493" w:type="pct"/>
          </w:tcPr>
          <w:p w:rsidR="002E7725" w:rsidRPr="009A5B14" w:rsidRDefault="002E7725" w:rsidP="003160E2">
            <w:pPr>
              <w:pStyle w:val="EndNoteBibliography"/>
            </w:pPr>
            <w:r w:rsidRPr="009A5B14">
              <w:t>+128</w:t>
            </w:r>
          </w:p>
        </w:tc>
        <w:tc>
          <w:tcPr>
            <w:tcW w:w="493" w:type="pct"/>
          </w:tcPr>
          <w:p w:rsidR="002E7725" w:rsidRPr="009A5B14" w:rsidRDefault="002E7725" w:rsidP="003160E2">
            <w:pPr>
              <w:pStyle w:val="EndNoteBibliography"/>
            </w:pPr>
            <w:r w:rsidRPr="009A5B14">
              <w:t>+4.8%</w:t>
            </w:r>
          </w:p>
        </w:tc>
        <w:tc>
          <w:tcPr>
            <w:tcW w:w="493" w:type="pct"/>
          </w:tcPr>
          <w:p w:rsidR="002E7725" w:rsidRPr="009A5B14" w:rsidRDefault="002E7725" w:rsidP="003160E2">
            <w:pPr>
              <w:pStyle w:val="EndNoteBibliography"/>
            </w:pPr>
            <w:r w:rsidRPr="009A5B14">
              <w:t>+0.7%</w:t>
            </w:r>
          </w:p>
        </w:tc>
        <w:tc>
          <w:tcPr>
            <w:tcW w:w="493" w:type="pct"/>
          </w:tcPr>
          <w:p w:rsidR="002E7725" w:rsidRPr="009A5B14" w:rsidRDefault="002E7725" w:rsidP="003160E2">
            <w:pPr>
              <w:pStyle w:val="EndNoteBibliography"/>
            </w:pPr>
            <w:r w:rsidRPr="009A5B14">
              <w:t>+3.8%</w:t>
            </w:r>
          </w:p>
        </w:tc>
        <w:tc>
          <w:tcPr>
            <w:tcW w:w="493" w:type="pct"/>
          </w:tcPr>
          <w:p w:rsidR="002E7725" w:rsidRPr="009A5B14" w:rsidRDefault="002E7725" w:rsidP="003160E2">
            <w:pPr>
              <w:pStyle w:val="EndNoteBibliography"/>
            </w:pPr>
            <w:r>
              <w:t>−</w:t>
            </w:r>
            <w:r w:rsidRPr="009A5B14">
              <w:t>4.5%</w:t>
            </w:r>
          </w:p>
        </w:tc>
        <w:tc>
          <w:tcPr>
            <w:tcW w:w="567" w:type="pct"/>
          </w:tcPr>
          <w:p w:rsidR="002E7725" w:rsidRPr="009A5B14" w:rsidRDefault="002E7725" w:rsidP="003160E2">
            <w:pPr>
              <w:pStyle w:val="EndNoteBibliography"/>
            </w:pPr>
            <w:r>
              <w:t>−</w:t>
            </w:r>
            <w:r w:rsidRPr="009A5B14">
              <w:t>0.6%</w:t>
            </w:r>
          </w:p>
        </w:tc>
        <w:tc>
          <w:tcPr>
            <w:tcW w:w="493" w:type="pct"/>
          </w:tcPr>
          <w:p w:rsidR="002E7725" w:rsidRPr="009A5B14" w:rsidRDefault="002E7725" w:rsidP="003160E2">
            <w:pPr>
              <w:pStyle w:val="EndNoteBibliography"/>
            </w:pPr>
            <w:r w:rsidRPr="009A5B14">
              <w:t>+8.1</w:t>
            </w:r>
          </w:p>
        </w:tc>
        <w:tc>
          <w:tcPr>
            <w:tcW w:w="492" w:type="pct"/>
          </w:tcPr>
          <w:p w:rsidR="002E7725" w:rsidRPr="009A5B14" w:rsidRDefault="002E7725" w:rsidP="003160E2">
            <w:pPr>
              <w:pStyle w:val="EndNoteBibliography"/>
            </w:pPr>
            <w:r>
              <w:t>−</w:t>
            </w:r>
            <w:r w:rsidRPr="009A5B14">
              <w:t>1.6</w:t>
            </w:r>
          </w:p>
        </w:tc>
      </w:tr>
    </w:tbl>
    <w:p w:rsidR="002E7725" w:rsidRPr="007F4BF7" w:rsidRDefault="002E7725" w:rsidP="002E7725">
      <w:pPr>
        <w:spacing w:line="360" w:lineRule="auto"/>
      </w:pPr>
      <w:r w:rsidRPr="00747DB2">
        <w:rPr>
          <w:sz w:val="18"/>
        </w:rPr>
        <w:t xml:space="preserve">COPD, </w:t>
      </w:r>
      <w:r>
        <w:rPr>
          <w:rFonts w:eastAsia="Times New Roman" w:cs="Calibri"/>
          <w:color w:val="000000"/>
          <w:sz w:val="18"/>
          <w:szCs w:val="18"/>
        </w:rPr>
        <w:t>c</w:t>
      </w:r>
      <w:r w:rsidRPr="00DF19B3">
        <w:rPr>
          <w:rFonts w:eastAsia="Times New Roman" w:cs="Calibri"/>
          <w:color w:val="000000"/>
          <w:sz w:val="18"/>
          <w:szCs w:val="18"/>
        </w:rPr>
        <w:t>hronic</w:t>
      </w:r>
      <w:r w:rsidRPr="00747DB2">
        <w:rPr>
          <w:sz w:val="18"/>
        </w:rPr>
        <w:t xml:space="preserve"> obstructive pulmonary disease; FEV</w:t>
      </w:r>
      <w:r w:rsidRPr="00747DB2">
        <w:rPr>
          <w:sz w:val="18"/>
          <w:vertAlign w:val="subscript"/>
        </w:rPr>
        <w:t>1</w:t>
      </w:r>
      <w:r w:rsidRPr="00747DB2">
        <w:rPr>
          <w:sz w:val="18"/>
        </w:rPr>
        <w:t xml:space="preserve">, </w:t>
      </w:r>
      <w:r w:rsidRPr="00036486">
        <w:rPr>
          <w:rFonts w:eastAsia="Times New Roman"/>
          <w:color w:val="000000"/>
          <w:sz w:val="18"/>
          <w:szCs w:val="18"/>
        </w:rPr>
        <w:t>forced expiratory volume in one second;</w:t>
      </w:r>
      <w:r w:rsidRPr="00747DB2">
        <w:rPr>
          <w:sz w:val="18"/>
        </w:rPr>
        <w:t xml:space="preserve"> SGRQ-C, St. George’s </w:t>
      </w:r>
      <w:r w:rsidRPr="00447978">
        <w:rPr>
          <w:rFonts w:eastAsia="Times New Roman" w:cs="Calibri"/>
          <w:color w:val="000000"/>
          <w:sz w:val="18"/>
          <w:szCs w:val="18"/>
        </w:rPr>
        <w:t>respiratory questionnaire</w:t>
      </w:r>
      <w:r w:rsidRPr="00747DB2">
        <w:rPr>
          <w:sz w:val="18"/>
        </w:rPr>
        <w:t xml:space="preserve"> for COPD patients; </w:t>
      </w:r>
      <w:r>
        <w:rPr>
          <w:rFonts w:eastAsia="Times New Roman" w:cs="Calibri"/>
          <w:color w:val="000000"/>
          <w:sz w:val="18"/>
          <w:szCs w:val="18"/>
        </w:rPr>
        <w:br/>
      </w:r>
      <w:r w:rsidRPr="00036486">
        <w:rPr>
          <w:sz w:val="18"/>
          <w:szCs w:val="18"/>
          <w:lang w:eastAsia="en-GB"/>
        </w:rPr>
        <w:t>TIO/OLO, tiotropium/olodaterol; UMEC/VI, umeclidinium/vilanterol;</w:t>
      </w:r>
      <w:r w:rsidRPr="00747DB2">
        <w:rPr>
          <w:sz w:val="18"/>
        </w:rPr>
        <w:t xml:space="preserve"> </w:t>
      </w:r>
      <w:r w:rsidRPr="00036486">
        <w:rPr>
          <w:sz w:val="18"/>
          <w:szCs w:val="18"/>
        </w:rPr>
        <w:t>6MW</w:t>
      </w:r>
      <w:r>
        <w:rPr>
          <w:sz w:val="18"/>
          <w:szCs w:val="18"/>
        </w:rPr>
        <w:t>T</w:t>
      </w:r>
      <w:r w:rsidRPr="00036486">
        <w:rPr>
          <w:sz w:val="18"/>
          <w:szCs w:val="18"/>
        </w:rPr>
        <w:t xml:space="preserve">, 6-minute </w:t>
      </w:r>
      <w:r>
        <w:rPr>
          <w:sz w:val="18"/>
          <w:szCs w:val="18"/>
          <w:lang w:eastAsia="en-GB"/>
        </w:rPr>
        <w:t>walking test.</w:t>
      </w:r>
    </w:p>
    <w:p w:rsidR="000837A8" w:rsidRDefault="000837A8"/>
    <w:sectPr w:rsidR="000837A8" w:rsidSect="00CE44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2E7725"/>
    <w:rsid w:val="000837A8"/>
    <w:rsid w:val="001D4F42"/>
    <w:rsid w:val="002E7725"/>
    <w:rsid w:val="006F4A02"/>
    <w:rsid w:val="00B35B91"/>
    <w:rsid w:val="00C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7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qFormat/>
    <w:rsid w:val="002E7725"/>
    <w:pPr>
      <w:spacing w:line="360" w:lineRule="auto"/>
    </w:pPr>
    <w:rPr>
      <w:rFonts w:cs="Calibri"/>
    </w:rPr>
  </w:style>
  <w:style w:type="character" w:customStyle="1" w:styleId="EndNoteBibliographyChar">
    <w:name w:val="EndNote Bibliography Char"/>
    <w:link w:val="EndNoteBibliography"/>
    <w:rsid w:val="002E772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7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qFormat/>
    <w:rsid w:val="002E7725"/>
    <w:pPr>
      <w:spacing w:line="360" w:lineRule="auto"/>
    </w:pPr>
    <w:rPr>
      <w:rFonts w:cs="Calibri"/>
    </w:rPr>
  </w:style>
  <w:style w:type="character" w:customStyle="1" w:styleId="EndNoteBibliographyChar">
    <w:name w:val="EndNote Bibliography Char"/>
    <w:link w:val="EndNoteBibliography"/>
    <w:rsid w:val="002E77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674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Fishawack Indicia</dc:creator>
  <cp:keywords/>
  <dc:description/>
  <cp:lastModifiedBy>LCAYETANO</cp:lastModifiedBy>
  <cp:revision>3</cp:revision>
  <dcterms:created xsi:type="dcterms:W3CDTF">2018-06-12T16:31:00Z</dcterms:created>
  <dcterms:modified xsi:type="dcterms:W3CDTF">2018-10-22T18:41:00Z</dcterms:modified>
</cp:coreProperties>
</file>