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F" w:rsidRPr="00ED656F" w:rsidRDefault="00ED656F" w:rsidP="00ED656F">
      <w:pPr>
        <w:spacing w:after="160" w:line="259" w:lineRule="auto"/>
        <w:outlineLvl w:val="1"/>
        <w:rPr>
          <w:rFonts w:ascii="Calibri" w:eastAsia="Calibri" w:hAnsi="Calibri" w:cs="Arial"/>
          <w:color w:val="171717"/>
          <w:szCs w:val="24"/>
          <w:u w:val="single"/>
          <w:lang w:val="en-GB"/>
        </w:rPr>
      </w:pPr>
      <w:r w:rsidRPr="00ED656F">
        <w:rPr>
          <w:rFonts w:ascii="Calibri" w:eastAsia="Calibri" w:hAnsi="Calibri" w:cs="Arial"/>
          <w:color w:val="171717"/>
          <w:szCs w:val="24"/>
          <w:u w:val="single"/>
          <w:lang w:val="en-GB"/>
        </w:rPr>
        <w:t>Additional file 3</w:t>
      </w:r>
    </w:p>
    <w:p w:rsidR="00ED656F" w:rsidRPr="00ED656F" w:rsidRDefault="00ED656F" w:rsidP="00ED656F">
      <w:pPr>
        <w:spacing w:after="160" w:line="480" w:lineRule="auto"/>
        <w:jc w:val="both"/>
        <w:rPr>
          <w:rFonts w:ascii="Calibri" w:eastAsia="Calibri" w:hAnsi="Calibri" w:cs="Arial"/>
          <w:color w:val="171717"/>
          <w:szCs w:val="24"/>
          <w:u w:val="single"/>
          <w:lang w:val="en-GB"/>
        </w:rPr>
      </w:pPr>
      <w:proofErr w:type="gramStart"/>
      <w:r w:rsidRPr="00ED656F">
        <w:rPr>
          <w:rFonts w:ascii="Calibri" w:eastAsia="Calibri" w:hAnsi="Calibri" w:cs="Arial"/>
          <w:b/>
          <w:bCs/>
          <w:color w:val="000000"/>
          <w:szCs w:val="20"/>
        </w:rPr>
        <w:t>Definition of the Central Sleep Apnea Group, the Obstructive Sleep Apnea group, and the Treatment Emergent Central Sleep Apnea Group.</w:t>
      </w:r>
      <w:proofErr w:type="gramEnd"/>
    </w:p>
    <w:p w:rsidR="00ED656F" w:rsidRPr="00ED656F" w:rsidRDefault="00ED656F" w:rsidP="00ED656F">
      <w:pPr>
        <w:spacing w:after="160" w:line="259" w:lineRule="auto"/>
        <w:rPr>
          <w:rFonts w:ascii="Calibri" w:eastAsia="Calibri" w:hAnsi="Calibri" w:cs="Arial"/>
          <w:color w:val="171717"/>
          <w:szCs w:val="24"/>
          <w:u w:val="single"/>
          <w:lang w:val="en-GB"/>
        </w:rPr>
      </w:pPr>
    </w:p>
    <w:p w:rsidR="00ED656F" w:rsidRPr="00ED656F" w:rsidRDefault="00ED656F" w:rsidP="00ED656F">
      <w:pPr>
        <w:spacing w:after="160" w:line="259" w:lineRule="auto"/>
        <w:rPr>
          <w:rFonts w:ascii="Calibri" w:eastAsia="Calibri" w:hAnsi="Calibri" w:cs="Arial"/>
          <w:color w:val="171717"/>
          <w:szCs w:val="24"/>
          <w:u w:val="single"/>
          <w:lang w:val="en-GB"/>
        </w:rPr>
      </w:pPr>
    </w:p>
    <w:p w:rsidR="00ED656F" w:rsidRPr="00ED656F" w:rsidRDefault="00ED656F" w:rsidP="00ED656F">
      <w:pPr>
        <w:spacing w:after="160" w:line="259" w:lineRule="auto"/>
        <w:rPr>
          <w:rFonts w:ascii="Calibri" w:eastAsia="Calibri" w:hAnsi="Calibri" w:cs="Arial"/>
          <w:color w:val="171717"/>
          <w:sz w:val="20"/>
          <w:szCs w:val="20"/>
          <w:lang w:val="fr-FR"/>
        </w:rPr>
      </w:pPr>
      <w:r w:rsidRPr="00ED656F">
        <w:rPr>
          <w:rFonts w:ascii="Calibri" w:eastAsia="Calibri" w:hAnsi="Calibri" w:cs="Arial"/>
          <w:noProof/>
        </w:rPr>
        <w:drawing>
          <wp:inline distT="0" distB="0" distL="0" distR="0" wp14:anchorId="0AE45DCA" wp14:editId="75EED4F6">
            <wp:extent cx="5760720" cy="310642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6F" w:rsidRPr="00ED656F" w:rsidRDefault="00ED656F" w:rsidP="00ED656F">
      <w:pPr>
        <w:spacing w:after="160" w:line="259" w:lineRule="auto"/>
        <w:rPr>
          <w:rFonts w:ascii="Calibri" w:eastAsia="Calibri" w:hAnsi="Calibri" w:cs="Arial"/>
          <w:color w:val="000000"/>
          <w:szCs w:val="20"/>
          <w:lang w:val="fr-FR"/>
        </w:rPr>
      </w:pPr>
    </w:p>
    <w:p w:rsidR="00ED656F" w:rsidRPr="00ED656F" w:rsidRDefault="00ED656F" w:rsidP="00ED656F">
      <w:pPr>
        <w:spacing w:after="160" w:line="480" w:lineRule="auto"/>
        <w:jc w:val="both"/>
        <w:rPr>
          <w:rFonts w:ascii="Calibri" w:eastAsia="Calibri" w:hAnsi="Calibri" w:cs="Arial"/>
          <w:color w:val="000000"/>
          <w:szCs w:val="20"/>
        </w:rPr>
      </w:pPr>
      <w:r w:rsidRPr="00ED656F">
        <w:rPr>
          <w:rFonts w:ascii="Calibri" w:eastAsia="Calibri" w:hAnsi="Calibri" w:cs="Arial"/>
          <w:color w:val="000000"/>
          <w:szCs w:val="20"/>
          <w:lang w:val="en-GB"/>
        </w:rPr>
        <w:t>Diagnostic methods (</w:t>
      </w:r>
      <w:proofErr w:type="spellStart"/>
      <w:r w:rsidRPr="00ED656F">
        <w:rPr>
          <w:rFonts w:ascii="Calibri" w:eastAsia="Calibri" w:hAnsi="Calibri" w:cs="Arial"/>
          <w:color w:val="000000"/>
          <w:szCs w:val="20"/>
          <w:lang w:val="en-GB"/>
        </w:rPr>
        <w:t>polygraphy</w:t>
      </w:r>
      <w:proofErr w:type="spellEnd"/>
      <w:r w:rsidRPr="00ED656F">
        <w:rPr>
          <w:rFonts w:ascii="Calibri" w:eastAsia="Calibri" w:hAnsi="Calibri" w:cs="Arial"/>
          <w:color w:val="000000"/>
          <w:szCs w:val="20"/>
          <w:lang w:val="en-GB"/>
        </w:rPr>
        <w:t xml:space="preserve"> (PG) or polysomnography (PSG</w:t>
      </w:r>
      <w:proofErr w:type="gramStart"/>
      <w:r w:rsidRPr="00ED656F">
        <w:rPr>
          <w:rFonts w:ascii="Calibri" w:eastAsia="Calibri" w:hAnsi="Calibri" w:cs="Arial"/>
          <w:color w:val="000000"/>
          <w:szCs w:val="20"/>
          <w:lang w:val="en-GB"/>
        </w:rPr>
        <w:t>) )</w:t>
      </w:r>
      <w:proofErr w:type="gramEnd"/>
      <w:r w:rsidRPr="00ED656F">
        <w:rPr>
          <w:rFonts w:ascii="Calibri" w:eastAsia="Calibri" w:hAnsi="Calibri" w:cs="Arial"/>
          <w:color w:val="000000"/>
          <w:szCs w:val="20"/>
          <w:lang w:val="en-GB"/>
        </w:rPr>
        <w:t xml:space="preserve">, and the scoring of respiratory events were not standardised (excepted for central or obstructive </w:t>
      </w:r>
      <w:proofErr w:type="spellStart"/>
      <w:r w:rsidRPr="00ED656F">
        <w:rPr>
          <w:rFonts w:ascii="Calibri" w:eastAsia="Calibri" w:hAnsi="Calibri" w:cs="Arial"/>
          <w:color w:val="000000"/>
          <w:szCs w:val="20"/>
          <w:lang w:val="en-GB"/>
        </w:rPr>
        <w:t>apnea</w:t>
      </w:r>
      <w:proofErr w:type="spellEnd"/>
      <w:r w:rsidRPr="00ED656F">
        <w:rPr>
          <w:rFonts w:ascii="Calibri" w:eastAsia="Calibri" w:hAnsi="Calibri" w:cs="Arial"/>
          <w:color w:val="000000"/>
          <w:szCs w:val="20"/>
          <w:lang w:val="en-GB"/>
        </w:rPr>
        <w:t xml:space="preserve"> patterns) because of the change overtime in recommendations for the scoring of respiratory events (initial PG or PSG diagnoses span 2002 to 2016). </w:t>
      </w:r>
    </w:p>
    <w:p w:rsidR="00BA174D" w:rsidRPr="00ED656F" w:rsidRDefault="00BA174D" w:rsidP="00ED656F">
      <w:bookmarkStart w:id="0" w:name="_GoBack"/>
      <w:bookmarkEnd w:id="0"/>
    </w:p>
    <w:sectPr w:rsidR="00BA174D" w:rsidRPr="00ED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3F4"/>
    <w:multiLevelType w:val="hybridMultilevel"/>
    <w:tmpl w:val="024E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C"/>
    <w:rsid w:val="0009162F"/>
    <w:rsid w:val="002078A2"/>
    <w:rsid w:val="003629EC"/>
    <w:rsid w:val="004F12C8"/>
    <w:rsid w:val="00BA174D"/>
    <w:rsid w:val="00E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2019-10-25T07:35:00Z</dcterms:created>
  <dcterms:modified xsi:type="dcterms:W3CDTF">2019-10-25T07:35:00Z</dcterms:modified>
</cp:coreProperties>
</file>