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1547"/>
        <w:gridCol w:w="2396"/>
        <w:gridCol w:w="2400"/>
        <w:gridCol w:w="2538"/>
      </w:tblGrid>
      <w:tr w:rsidR="003A2387" w:rsidRPr="003B6760" w:rsidTr="004C6B65">
        <w:tc>
          <w:tcPr>
            <w:tcW w:w="5000" w:type="pct"/>
            <w:gridSpan w:val="4"/>
          </w:tcPr>
          <w:p w:rsidR="003A2387" w:rsidRPr="00D57D17" w:rsidRDefault="003A2387" w:rsidP="004C6B65">
            <w:pPr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</w:pPr>
            <w:r w:rsidRPr="00D57D17"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  <w:t>Supplementary table 1. Overview of topic</w:t>
            </w:r>
            <w:r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  <w:t>s</w:t>
            </w:r>
            <w:r w:rsidRPr="00D57D17"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  <w:t xml:space="preserve"> included in </w:t>
            </w:r>
            <w:proofErr w:type="spellStart"/>
            <w:r w:rsidRPr="00D57D17"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  <w:t>PESaM</w:t>
            </w:r>
            <w:proofErr w:type="spellEnd"/>
            <w:r w:rsidRPr="00D57D17"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  <w:t xml:space="preserve"> questionnaires in different modules </w:t>
            </w:r>
          </w:p>
        </w:tc>
      </w:tr>
      <w:tr w:rsidR="003A2387" w:rsidRPr="001D0C5C" w:rsidTr="004C6B65">
        <w:tc>
          <w:tcPr>
            <w:tcW w:w="871" w:type="pct"/>
            <w:vMerge w:val="restart"/>
          </w:tcPr>
          <w:p w:rsidR="003A2387" w:rsidRPr="00D57D17" w:rsidRDefault="003A2387" w:rsidP="004C6B65">
            <w:pPr>
              <w:rPr>
                <w:rFonts w:ascii="TheSansOffice" w:hAnsi="TheSansOffice" w:cs="Arial"/>
                <w:b/>
                <w:sz w:val="20"/>
                <w:szCs w:val="20"/>
                <w:lang w:val="en-US"/>
              </w:rPr>
            </w:pPr>
          </w:p>
          <w:p w:rsidR="003A2387" w:rsidRPr="001D0C5C" w:rsidRDefault="003A2387" w:rsidP="004C6B65">
            <w:pPr>
              <w:rPr>
                <w:rFonts w:ascii="TheSansOffice" w:hAnsi="TheSansOffice" w:cs="Arial"/>
                <w:sz w:val="20"/>
                <w:szCs w:val="20"/>
              </w:rPr>
            </w:pPr>
            <w:r w:rsidRPr="001D0C5C">
              <w:rPr>
                <w:rFonts w:ascii="TheSansOffice" w:hAnsi="TheSansOffice" w:cs="Arial"/>
                <w:b/>
                <w:sz w:val="20"/>
                <w:szCs w:val="20"/>
              </w:rPr>
              <w:t>Domain</w:t>
            </w:r>
          </w:p>
        </w:tc>
        <w:tc>
          <w:tcPr>
            <w:tcW w:w="4129" w:type="pct"/>
            <w:gridSpan w:val="3"/>
          </w:tcPr>
          <w:p w:rsidR="003A2387" w:rsidRPr="001D0C5C" w:rsidRDefault="003A2387" w:rsidP="004C6B65">
            <w:pPr>
              <w:jc w:val="center"/>
              <w:rPr>
                <w:rFonts w:ascii="TheSansOffice" w:hAnsi="TheSansOffice" w:cs="Arial"/>
                <w:b/>
                <w:sz w:val="20"/>
                <w:szCs w:val="20"/>
              </w:rPr>
            </w:pPr>
            <w:proofErr w:type="spellStart"/>
            <w:r w:rsidRPr="001D0C5C">
              <w:rPr>
                <w:rFonts w:ascii="TheSansOffice" w:hAnsi="TheSansOffice" w:cs="Arial"/>
                <w:b/>
                <w:sz w:val="20"/>
                <w:szCs w:val="20"/>
              </w:rPr>
              <w:t>PESaM</w:t>
            </w:r>
            <w:proofErr w:type="spellEnd"/>
            <w:r w:rsidRPr="001D0C5C">
              <w:rPr>
                <w:rFonts w:ascii="TheSansOffice" w:hAnsi="TheSansOffice" w:cs="Arial"/>
                <w:b/>
                <w:sz w:val="20"/>
                <w:szCs w:val="20"/>
              </w:rPr>
              <w:t>-module</w:t>
            </w:r>
          </w:p>
        </w:tc>
      </w:tr>
      <w:tr w:rsidR="003A2387" w:rsidRPr="001D0C5C" w:rsidTr="004C6B65">
        <w:tc>
          <w:tcPr>
            <w:tcW w:w="871" w:type="pct"/>
            <w:vMerge/>
          </w:tcPr>
          <w:p w:rsidR="003A2387" w:rsidRPr="001D0C5C" w:rsidRDefault="003A2387" w:rsidP="004C6B65">
            <w:pPr>
              <w:rPr>
                <w:rFonts w:ascii="TheSansOffice" w:hAnsi="TheSansOffice" w:cs="Arial"/>
                <w:sz w:val="20"/>
                <w:szCs w:val="20"/>
              </w:rPr>
            </w:pPr>
          </w:p>
        </w:tc>
        <w:tc>
          <w:tcPr>
            <w:tcW w:w="1349" w:type="pct"/>
          </w:tcPr>
          <w:p w:rsidR="003A2387" w:rsidRPr="001D0C5C" w:rsidRDefault="003A2387" w:rsidP="004C6B65">
            <w:pPr>
              <w:jc w:val="center"/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>
              <w:rPr>
                <w:rFonts w:ascii="TheSansOffice" w:hAnsi="TheSansOffice" w:cs="Arial"/>
                <w:sz w:val="20"/>
                <w:szCs w:val="20"/>
              </w:rPr>
              <w:t>Disease-specific</w:t>
            </w:r>
            <w:proofErr w:type="spellEnd"/>
            <w:r>
              <w:rPr>
                <w:rFonts w:ascii="TheSansOffice" w:hAnsi="TheSansOffice" w:cs="Arial"/>
                <w:sz w:val="20"/>
                <w:szCs w:val="20"/>
              </w:rPr>
              <w:t xml:space="preserve"> (IPF)</w:t>
            </w:r>
          </w:p>
        </w:tc>
        <w:tc>
          <w:tcPr>
            <w:tcW w:w="1351" w:type="pct"/>
          </w:tcPr>
          <w:p w:rsidR="003A2387" w:rsidRPr="001D0C5C" w:rsidRDefault="003A2387" w:rsidP="004C6B65">
            <w:pPr>
              <w:jc w:val="center"/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Generic</w:t>
            </w:r>
            <w:proofErr w:type="spellEnd"/>
            <w:r w:rsidRPr="001D0C5C">
              <w:rPr>
                <w:rFonts w:ascii="TheSansOffice" w:hAnsi="TheSansOffice" w:cs="Arial"/>
                <w:sz w:val="20"/>
                <w:szCs w:val="20"/>
              </w:rPr>
              <w:t xml:space="preserve"> </w:t>
            </w: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experiences</w:t>
            </w:r>
            <w:proofErr w:type="spellEnd"/>
          </w:p>
        </w:tc>
        <w:tc>
          <w:tcPr>
            <w:tcW w:w="1430" w:type="pct"/>
          </w:tcPr>
          <w:p w:rsidR="003A2387" w:rsidRPr="001D0C5C" w:rsidRDefault="003A2387" w:rsidP="004C6B65">
            <w:pPr>
              <w:jc w:val="center"/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Generic</w:t>
            </w:r>
            <w:proofErr w:type="spellEnd"/>
            <w:r w:rsidRPr="001D0C5C">
              <w:rPr>
                <w:rFonts w:ascii="TheSansOffice" w:hAnsi="TheSansOffice" w:cs="Arial"/>
                <w:sz w:val="20"/>
                <w:szCs w:val="20"/>
              </w:rPr>
              <w:t xml:space="preserve"> </w:t>
            </w: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expectations</w:t>
            </w:r>
            <w:proofErr w:type="spellEnd"/>
          </w:p>
        </w:tc>
      </w:tr>
      <w:tr w:rsidR="003A2387" w:rsidRPr="003B6760" w:rsidTr="004C6B65">
        <w:tc>
          <w:tcPr>
            <w:tcW w:w="871" w:type="pct"/>
          </w:tcPr>
          <w:p w:rsidR="003A2387" w:rsidRPr="001D0C5C" w:rsidRDefault="003A2387" w:rsidP="004C6B65">
            <w:pPr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Effectiveness</w:t>
            </w:r>
            <w:proofErr w:type="spellEnd"/>
          </w:p>
        </w:tc>
        <w:tc>
          <w:tcPr>
            <w:tcW w:w="1349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Coughing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Shortness of breath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Fatigue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Disease stabilisation</w:t>
            </w:r>
          </w:p>
        </w:tc>
        <w:tc>
          <w:tcPr>
            <w:tcW w:w="1351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Perceived effectiveness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physical health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feelings and emotions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social and daily activities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Satisfaction</w:t>
            </w:r>
          </w:p>
        </w:tc>
        <w:tc>
          <w:tcPr>
            <w:tcW w:w="1430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Expected effectiveness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physical health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feelings and emotions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social and daily activities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</w:tc>
      </w:tr>
      <w:tr w:rsidR="003A2387" w:rsidRPr="003B6760" w:rsidTr="004C6B65">
        <w:tc>
          <w:tcPr>
            <w:tcW w:w="871" w:type="pct"/>
          </w:tcPr>
          <w:p w:rsidR="003A2387" w:rsidRPr="001D0C5C" w:rsidRDefault="003A2387" w:rsidP="004C6B65">
            <w:pPr>
              <w:rPr>
                <w:rFonts w:ascii="TheSansOffice" w:hAnsi="TheSansOffice" w:cs="Arial"/>
                <w:sz w:val="20"/>
                <w:szCs w:val="20"/>
                <w:vertAlign w:val="superscript"/>
              </w:rPr>
            </w:pPr>
            <w:r w:rsidRPr="001D0C5C">
              <w:rPr>
                <w:rFonts w:ascii="TheSansOffice" w:hAnsi="TheSansOffice" w:cs="Arial"/>
                <w:sz w:val="20"/>
                <w:szCs w:val="20"/>
              </w:rPr>
              <w:t>Side-</w:t>
            </w: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1349" w:type="pct"/>
          </w:tcPr>
          <w:p w:rsidR="003A2387" w:rsidRPr="001D0C5C" w:rsidRDefault="003A2387" w:rsidP="004C6B65">
            <w:pPr>
              <w:spacing w:line="240" w:lineRule="auto"/>
              <w:rPr>
                <w:rFonts w:ascii="TheSansOffice" w:hAnsi="TheSansOffice" w:cs="Arial"/>
                <w:sz w:val="18"/>
                <w:szCs w:val="18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</w:rPr>
              <w:t xml:space="preserve">-   </w:t>
            </w:r>
            <w:proofErr w:type="spellStart"/>
            <w:r w:rsidRPr="001D0C5C">
              <w:rPr>
                <w:rFonts w:ascii="TheSansOffice" w:hAnsi="TheSansOffice" w:cs="Arial"/>
                <w:sz w:val="18"/>
                <w:szCs w:val="18"/>
              </w:rPr>
              <w:t>Headache</w:t>
            </w:r>
            <w:proofErr w:type="spellEnd"/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Insomnia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Fatigue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Dizziness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Weight loss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Decreased appetite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Photosensitivity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Other skin problems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Diarrhoea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Nausea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Vomiting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Flatulence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Stomach pain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Abdominal pain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Coughing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Other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proofErr w:type="spellStart"/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Bothersomeness</w:t>
            </w:r>
            <w:proofErr w:type="spellEnd"/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 xml:space="preserve"> of each experienced side-effect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Non-adherence due to side-effects</w:t>
            </w:r>
          </w:p>
        </w:tc>
        <w:tc>
          <w:tcPr>
            <w:tcW w:w="1351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proofErr w:type="spellStart"/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Bothersomeness</w:t>
            </w:r>
            <w:proofErr w:type="spellEnd"/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 xml:space="preserve"> experienced side-effects (any)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physical health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feelings and emotions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social and daily activities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Satisfaction</w:t>
            </w:r>
          </w:p>
          <w:p w:rsidR="003A2387" w:rsidRPr="001D0C5C" w:rsidRDefault="003A2387" w:rsidP="004C6B65">
            <w:pPr>
              <w:pStyle w:val="ListParagraph"/>
              <w:ind w:left="36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</w:tc>
        <w:tc>
          <w:tcPr>
            <w:tcW w:w="1430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proofErr w:type="spellStart"/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Bothersomeness</w:t>
            </w:r>
            <w:proofErr w:type="spellEnd"/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 xml:space="preserve"> side-effects (any)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physical health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feelings and emotions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Impact on social and daily activities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  <w:p w:rsidR="003A2387" w:rsidRPr="001D0C5C" w:rsidRDefault="003A2387" w:rsidP="004C6B65">
            <w:pPr>
              <w:pStyle w:val="ListParagraph"/>
              <w:ind w:left="36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3A2387" w:rsidRPr="001D0C5C" w:rsidTr="004C6B65">
        <w:tc>
          <w:tcPr>
            <w:tcW w:w="871" w:type="pct"/>
          </w:tcPr>
          <w:p w:rsidR="003A2387" w:rsidRPr="001D0C5C" w:rsidRDefault="003A2387" w:rsidP="004C6B65">
            <w:pPr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Ease</w:t>
            </w:r>
            <w:proofErr w:type="spellEnd"/>
            <w:r w:rsidRPr="001D0C5C">
              <w:rPr>
                <w:rFonts w:ascii="TheSansOffice" w:hAnsi="TheSansOffice" w:cs="Arial"/>
                <w:sz w:val="20"/>
                <w:szCs w:val="20"/>
              </w:rPr>
              <w:t xml:space="preserve"> of </w:t>
            </w: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1349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Intake capsules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Timing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Non-adherence due to inconvenience</w:t>
            </w:r>
          </w:p>
        </w:tc>
        <w:tc>
          <w:tcPr>
            <w:tcW w:w="1351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Administration mode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Time schedule or frequency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Incorporate into daily life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Satisfaction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</w:tc>
        <w:tc>
          <w:tcPr>
            <w:tcW w:w="1430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Administration mode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Time schedule or frequency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Incorporate into daily life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</w:tc>
      </w:tr>
      <w:tr w:rsidR="003A2387" w:rsidRPr="001D0C5C" w:rsidTr="004C6B65">
        <w:tc>
          <w:tcPr>
            <w:tcW w:w="871" w:type="pct"/>
          </w:tcPr>
          <w:p w:rsidR="003A2387" w:rsidRPr="001D0C5C" w:rsidRDefault="003A2387" w:rsidP="004C6B65">
            <w:pPr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 w:rsidRPr="001D0C5C">
              <w:rPr>
                <w:rFonts w:ascii="TheSansOffice" w:hAnsi="TheSansOffice" w:cs="Arial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349" w:type="pct"/>
          </w:tcPr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1351" w:type="pct"/>
          </w:tcPr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Overall satisfaction</w:t>
            </w:r>
          </w:p>
          <w:p w:rsidR="003A2387" w:rsidRPr="001D0C5C" w:rsidRDefault="003A2387" w:rsidP="003A23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Importance of effectiveness vs side-effects vs ease of use</w:t>
            </w:r>
          </w:p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</w:p>
        </w:tc>
        <w:tc>
          <w:tcPr>
            <w:tcW w:w="1430" w:type="pct"/>
          </w:tcPr>
          <w:p w:rsidR="003A2387" w:rsidRPr="001D0C5C" w:rsidRDefault="003A2387" w:rsidP="004C6B65">
            <w:pPr>
              <w:pStyle w:val="ListParagraph"/>
              <w:ind w:left="170"/>
              <w:rPr>
                <w:rFonts w:ascii="TheSansOffice" w:hAnsi="TheSansOffice" w:cs="Arial"/>
                <w:sz w:val="18"/>
                <w:szCs w:val="18"/>
                <w:lang w:val="en-GB"/>
              </w:rPr>
            </w:pPr>
            <w:r w:rsidRPr="001D0C5C">
              <w:rPr>
                <w:rFonts w:ascii="TheSansOffice" w:hAnsi="TheSansOffice" w:cs="Arial"/>
                <w:sz w:val="18"/>
                <w:szCs w:val="18"/>
                <w:lang w:val="en-GB"/>
              </w:rPr>
              <w:t>N/A</w:t>
            </w:r>
          </w:p>
        </w:tc>
      </w:tr>
    </w:tbl>
    <w:p w:rsidR="00230BFC" w:rsidRDefault="003A2387"/>
    <w:sectPr w:rsidR="0023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019"/>
    <w:multiLevelType w:val="hybridMultilevel"/>
    <w:tmpl w:val="6450C5CA"/>
    <w:lvl w:ilvl="0" w:tplc="E0269DB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87"/>
    <w:rsid w:val="00027B24"/>
    <w:rsid w:val="003A2387"/>
    <w:rsid w:val="00A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7581-CBFF-44D0-92E8-182E134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87"/>
    <w:pPr>
      <w:ind w:left="720"/>
      <w:contextualSpacing/>
    </w:pPr>
  </w:style>
  <w:style w:type="table" w:styleId="TableGrid">
    <w:name w:val="Table Grid"/>
    <w:basedOn w:val="TableNormal"/>
    <w:uiPriority w:val="59"/>
    <w:rsid w:val="003A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Moor</dc:creator>
  <cp:keywords/>
  <dc:description/>
  <cp:lastModifiedBy>C.C. Moor</cp:lastModifiedBy>
  <cp:revision>1</cp:revision>
  <dcterms:created xsi:type="dcterms:W3CDTF">2020-04-23T11:41:00Z</dcterms:created>
  <dcterms:modified xsi:type="dcterms:W3CDTF">2020-04-23T11:42:00Z</dcterms:modified>
</cp:coreProperties>
</file>