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ED" w:rsidRDefault="003F1EED" w:rsidP="003F1EED">
      <w:pPr>
        <w:spacing w:after="0" w:line="480" w:lineRule="auto"/>
        <w:rPr>
          <w:rFonts w:ascii="Times New Roman" w:hAnsi="Times New Roman" w:cs="Times New Roman"/>
          <w:sz w:val="24"/>
        </w:rPr>
      </w:pPr>
      <w:r>
        <w:rPr>
          <w:rFonts w:ascii="Times New Roman" w:hAnsi="Times New Roman" w:cs="Times New Roman"/>
          <w:b/>
          <w:sz w:val="24"/>
          <w:szCs w:val="24"/>
        </w:rPr>
        <w:t>Additional</w:t>
      </w:r>
      <w:r>
        <w:rPr>
          <w:rFonts w:ascii="Times New Roman" w:hAnsi="Times New Roman" w:cs="Times New Roman"/>
          <w:b/>
          <w:sz w:val="24"/>
          <w:szCs w:val="24"/>
        </w:rPr>
        <w:t xml:space="preserve"> Table 4</w:t>
      </w:r>
      <w:r w:rsidRPr="00754509">
        <w:rPr>
          <w:rFonts w:ascii="Times New Roman" w:hAnsi="Times New Roman" w:cs="Times New Roman"/>
          <w:b/>
          <w:sz w:val="24"/>
          <w:szCs w:val="24"/>
        </w:rPr>
        <w:t>.</w:t>
      </w:r>
      <w:r>
        <w:rPr>
          <w:rFonts w:ascii="Times New Roman" w:hAnsi="Times New Roman" w:cs="Times New Roman"/>
          <w:b/>
          <w:sz w:val="24"/>
          <w:szCs w:val="24"/>
        </w:rPr>
        <w:t xml:space="preserve"> </w:t>
      </w:r>
      <w:r w:rsidRPr="00B822EF">
        <w:rPr>
          <w:rFonts w:ascii="Times New Roman" w:hAnsi="Times New Roman" w:cs="Times New Roman"/>
          <w:sz w:val="24"/>
          <w:szCs w:val="24"/>
        </w:rPr>
        <w:t xml:space="preserve">Most parsimonious Cox proportional hazards models </w:t>
      </w:r>
      <w:r>
        <w:rPr>
          <w:rFonts w:ascii="Times New Roman" w:hAnsi="Times New Roman" w:cs="Times New Roman"/>
          <w:sz w:val="24"/>
          <w:szCs w:val="24"/>
        </w:rPr>
        <w:t xml:space="preserve">(excluding serum bicarbonate) </w:t>
      </w:r>
      <w:r w:rsidRPr="00B822EF">
        <w:rPr>
          <w:rFonts w:ascii="Times New Roman" w:hAnsi="Times New Roman" w:cs="Times New Roman"/>
          <w:sz w:val="24"/>
          <w:szCs w:val="24"/>
        </w:rPr>
        <w:t>of</w:t>
      </w:r>
      <w:r>
        <w:rPr>
          <w:rFonts w:ascii="Times New Roman" w:hAnsi="Times New Roman" w:cs="Times New Roman"/>
          <w:sz w:val="24"/>
        </w:rPr>
        <w:t xml:space="preserve"> all-cause mortality, incident coronary heart disease (CHD) and incident heart failure (HF)</w:t>
      </w:r>
      <w:r w:rsidRPr="00B822EF">
        <w:rPr>
          <w:rFonts w:ascii="Times New Roman" w:hAnsi="Times New Roman" w:cs="Times New Roman"/>
          <w:sz w:val="24"/>
        </w:rPr>
        <w:t xml:space="preserve"> </w:t>
      </w:r>
      <w:r>
        <w:rPr>
          <w:rFonts w:ascii="Times New Roman" w:hAnsi="Times New Roman" w:cs="Times New Roman"/>
          <w:sz w:val="24"/>
        </w:rPr>
        <w:t>with age as time scale</w:t>
      </w:r>
      <w:r>
        <w:rPr>
          <w:rFonts w:ascii="Times New Roman" w:hAnsi="Times New Roman" w:cs="Times New Roman"/>
          <w:sz w:val="24"/>
        </w:rPr>
        <w:t xml:space="preserve"> in FDS patients.</w:t>
      </w:r>
    </w:p>
    <w:p w:rsidR="003F1EED" w:rsidRDefault="003F1EED" w:rsidP="003F1EED">
      <w:pPr>
        <w:spacing w:after="0" w:line="480" w:lineRule="auto"/>
        <w:rPr>
          <w:rFonts w:ascii="Times New Roman" w:hAnsi="Times New Roman" w:cs="Times New Roman"/>
          <w:sz w:val="24"/>
        </w:rPr>
      </w:pPr>
    </w:p>
    <w:tbl>
      <w:tblPr>
        <w:tblStyle w:val="TableGrid"/>
        <w:tblW w:w="14283" w:type="dxa"/>
        <w:tblLook w:val="04A0" w:firstRow="1" w:lastRow="0" w:firstColumn="1" w:lastColumn="0" w:noHBand="0" w:noVBand="1"/>
      </w:tblPr>
      <w:tblGrid>
        <w:gridCol w:w="5211"/>
        <w:gridCol w:w="1985"/>
        <w:gridCol w:w="1276"/>
        <w:gridCol w:w="1842"/>
        <w:gridCol w:w="993"/>
        <w:gridCol w:w="1975"/>
        <w:gridCol w:w="1001"/>
      </w:tblGrid>
      <w:tr w:rsidR="003F1EED" w:rsidTr="004B27D2">
        <w:tc>
          <w:tcPr>
            <w:tcW w:w="5211" w:type="dxa"/>
          </w:tcPr>
          <w:p w:rsidR="003F1EED" w:rsidRDefault="003F1EED" w:rsidP="003F1EED">
            <w:pPr>
              <w:spacing w:after="0" w:line="240" w:lineRule="auto"/>
              <w:rPr>
                <w:rFonts w:ascii="Times New Roman" w:hAnsi="Times New Roman" w:cs="Times New Roman"/>
                <w:sz w:val="24"/>
              </w:rPr>
            </w:pPr>
          </w:p>
        </w:tc>
        <w:tc>
          <w:tcPr>
            <w:tcW w:w="3261" w:type="dxa"/>
            <w:gridSpan w:val="2"/>
          </w:tcPr>
          <w:p w:rsidR="003F1EED" w:rsidRPr="0086155C"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All-cause</w:t>
            </w:r>
            <w:r>
              <w:rPr>
                <w:rFonts w:ascii="Times New Roman" w:hAnsi="Times New Roman" w:cs="Times New Roman"/>
                <w:sz w:val="24"/>
              </w:rPr>
              <w:t xml:space="preserve"> </w:t>
            </w:r>
            <w:r>
              <w:rPr>
                <w:rFonts w:ascii="Times New Roman" w:hAnsi="Times New Roman" w:cs="Times New Roman"/>
                <w:sz w:val="24"/>
              </w:rPr>
              <w:t>mortality</w:t>
            </w:r>
          </w:p>
        </w:tc>
        <w:tc>
          <w:tcPr>
            <w:tcW w:w="2835" w:type="dxa"/>
            <w:gridSpan w:val="2"/>
          </w:tcPr>
          <w:p w:rsidR="003F1EED" w:rsidRPr="0086155C"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Incident</w:t>
            </w:r>
            <w:r>
              <w:rPr>
                <w:rFonts w:ascii="Times New Roman" w:hAnsi="Times New Roman" w:cs="Times New Roman"/>
                <w:sz w:val="24"/>
              </w:rPr>
              <w:t xml:space="preserve"> </w:t>
            </w:r>
            <w:r>
              <w:rPr>
                <w:rFonts w:ascii="Times New Roman" w:hAnsi="Times New Roman" w:cs="Times New Roman"/>
                <w:sz w:val="24"/>
              </w:rPr>
              <w:t>CHD</w:t>
            </w:r>
          </w:p>
        </w:tc>
        <w:tc>
          <w:tcPr>
            <w:tcW w:w="2976" w:type="dxa"/>
            <w:gridSpan w:val="2"/>
          </w:tcPr>
          <w:p w:rsidR="003F1EED" w:rsidRPr="0086155C"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Incident</w:t>
            </w:r>
            <w:r>
              <w:rPr>
                <w:rFonts w:ascii="Times New Roman" w:hAnsi="Times New Roman" w:cs="Times New Roman"/>
                <w:sz w:val="24"/>
              </w:rPr>
              <w:t xml:space="preserve"> </w:t>
            </w:r>
            <w:r>
              <w:rPr>
                <w:rFonts w:ascii="Times New Roman" w:hAnsi="Times New Roman" w:cs="Times New Roman"/>
                <w:sz w:val="24"/>
              </w:rPr>
              <w:t>HF</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HR (95% CI)</w:t>
            </w:r>
          </w:p>
        </w:tc>
        <w:tc>
          <w:tcPr>
            <w:tcW w:w="1276" w:type="dxa"/>
          </w:tcPr>
          <w:p w:rsidR="003F1EED" w:rsidRDefault="003F1EED" w:rsidP="003F1EED">
            <w:pPr>
              <w:spacing w:after="0" w:line="240" w:lineRule="auto"/>
              <w:jc w:val="center"/>
              <w:rPr>
                <w:rFonts w:ascii="Times New Roman" w:hAnsi="Times New Roman" w:cs="Times New Roman"/>
                <w:sz w:val="24"/>
              </w:rPr>
            </w:pPr>
            <w:r w:rsidRPr="004C3104">
              <w:rPr>
                <w:rFonts w:ascii="Times New Roman" w:hAnsi="Times New Roman" w:cs="Times New Roman"/>
                <w:i/>
                <w:sz w:val="24"/>
              </w:rPr>
              <w:t>P</w:t>
            </w:r>
            <w:r>
              <w:rPr>
                <w:rFonts w:ascii="Times New Roman" w:hAnsi="Times New Roman" w:cs="Times New Roman"/>
                <w:sz w:val="24"/>
              </w:rPr>
              <w:t>-value</w:t>
            </w:r>
          </w:p>
        </w:tc>
        <w:tc>
          <w:tcPr>
            <w:tcW w:w="1842" w:type="dxa"/>
          </w:tcPr>
          <w:p w:rsidR="003F1EED" w:rsidRDefault="003F1EED" w:rsidP="003F1EED">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csHR</w:t>
            </w:r>
            <w:proofErr w:type="spellEnd"/>
            <w:r>
              <w:rPr>
                <w:rFonts w:ascii="Times New Roman" w:hAnsi="Times New Roman" w:cs="Times New Roman"/>
                <w:sz w:val="24"/>
              </w:rPr>
              <w:t xml:space="preserve"> (95% CI)</w:t>
            </w:r>
          </w:p>
        </w:tc>
        <w:tc>
          <w:tcPr>
            <w:tcW w:w="993" w:type="dxa"/>
          </w:tcPr>
          <w:p w:rsidR="003F1EED" w:rsidRDefault="003F1EED" w:rsidP="003F1EED">
            <w:pPr>
              <w:spacing w:after="0" w:line="240" w:lineRule="auto"/>
              <w:jc w:val="center"/>
              <w:rPr>
                <w:rFonts w:ascii="Times New Roman" w:hAnsi="Times New Roman" w:cs="Times New Roman"/>
                <w:sz w:val="24"/>
              </w:rPr>
            </w:pPr>
            <w:r w:rsidRPr="004C3104">
              <w:rPr>
                <w:rFonts w:ascii="Times New Roman" w:hAnsi="Times New Roman" w:cs="Times New Roman"/>
                <w:i/>
                <w:sz w:val="24"/>
              </w:rPr>
              <w:t>P</w:t>
            </w:r>
            <w:r>
              <w:rPr>
                <w:rFonts w:ascii="Times New Roman" w:hAnsi="Times New Roman" w:cs="Times New Roman"/>
                <w:sz w:val="24"/>
              </w:rPr>
              <w:t>-value</w:t>
            </w:r>
          </w:p>
        </w:tc>
        <w:tc>
          <w:tcPr>
            <w:tcW w:w="1975" w:type="dxa"/>
          </w:tcPr>
          <w:p w:rsidR="003F1EED" w:rsidRDefault="003F1EED" w:rsidP="003F1EED">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csHR</w:t>
            </w:r>
            <w:proofErr w:type="spellEnd"/>
            <w:r>
              <w:rPr>
                <w:rFonts w:ascii="Times New Roman" w:hAnsi="Times New Roman" w:cs="Times New Roman"/>
                <w:sz w:val="24"/>
              </w:rPr>
              <w:t xml:space="preserve"> (95% CI)</w:t>
            </w:r>
          </w:p>
        </w:tc>
        <w:tc>
          <w:tcPr>
            <w:tcW w:w="1001" w:type="dxa"/>
          </w:tcPr>
          <w:p w:rsidR="003F1EED" w:rsidRDefault="003F1EED" w:rsidP="003F1EED">
            <w:pPr>
              <w:spacing w:after="0" w:line="240" w:lineRule="auto"/>
              <w:jc w:val="center"/>
              <w:rPr>
                <w:rFonts w:ascii="Times New Roman" w:hAnsi="Times New Roman" w:cs="Times New Roman"/>
                <w:sz w:val="24"/>
              </w:rPr>
            </w:pPr>
            <w:r w:rsidRPr="004C3104">
              <w:rPr>
                <w:rFonts w:ascii="Times New Roman" w:hAnsi="Times New Roman" w:cs="Times New Roman"/>
                <w:i/>
                <w:sz w:val="24"/>
              </w:rPr>
              <w:t>P</w:t>
            </w:r>
            <w:r>
              <w:rPr>
                <w:rFonts w:ascii="Times New Roman" w:hAnsi="Times New Roman" w:cs="Times New Roman"/>
                <w:sz w:val="24"/>
              </w:rPr>
              <w:t>-value</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Age at baseline (increase of 10 years)*</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0.32 (0.27-0.37)</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0.35 (0.30-0.42)</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0.33 (0.27-0.40)</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Male</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1.59 (1.34-1.88)</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1.43 (1.15-1.78)</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0.001</w:t>
            </w: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Aboriginal</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2.30 (1.22-4.35)</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0.010</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Not fluent in English</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0.56 (0.40-0.79)</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0.001</w:t>
            </w: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Married/</w:t>
            </w:r>
            <w:r w:rsidRPr="004C3104">
              <w:rPr>
                <w:rFonts w:ascii="Times New Roman" w:hAnsi="Times New Roman" w:cs="Times New Roman"/>
                <w:i/>
                <w:sz w:val="24"/>
              </w:rPr>
              <w:t xml:space="preserve">de facto </w:t>
            </w:r>
            <w:r>
              <w:rPr>
                <w:rFonts w:ascii="Times New Roman" w:hAnsi="Times New Roman" w:cs="Times New Roman"/>
                <w:sz w:val="24"/>
              </w:rPr>
              <w:t>relationship</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0.66 (0.52-0.83)</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Current smoker</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1.66 (1.32-2.09)</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Any exercise in the past two weeks</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0.76 (0.64-0.91)</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0.003</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0.62 (0.49-0.78)</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Diabetes duration (increase of 1 year)</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1.01 (1.002-1.03)</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0.026</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1.03 (1.01-1.05)</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 xml:space="preserve">Angiotensin converting enzyme </w:t>
            </w:r>
            <w:r>
              <w:rPr>
                <w:rFonts w:ascii="Times New Roman" w:hAnsi="Times New Roman" w:cs="Times New Roman"/>
                <w:sz w:val="24"/>
              </w:rPr>
              <w:t>inhibitor use</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1.26 (1.04-1.52)</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0.018</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Diuretic use</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1.22 (1.01-1.48)</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0.044</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Log</w:t>
            </w:r>
            <w:r w:rsidRPr="004C3104">
              <w:rPr>
                <w:rFonts w:ascii="Times New Roman" w:hAnsi="Times New Roman" w:cs="Times New Roman"/>
                <w:sz w:val="24"/>
                <w:vertAlign w:val="subscript"/>
              </w:rPr>
              <w:t>e</w:t>
            </w:r>
            <w:r>
              <w:rPr>
                <w:rFonts w:ascii="Times New Roman" w:hAnsi="Times New Roman" w:cs="Times New Roman"/>
                <w:sz w:val="24"/>
              </w:rPr>
              <w:t>(serum triglycerides (mmo</w:t>
            </w:r>
            <w:r>
              <w:rPr>
                <w:rFonts w:ascii="Times New Roman" w:hAnsi="Times New Roman" w:cs="Times New Roman"/>
                <w:sz w:val="24"/>
              </w:rPr>
              <w:t>l</w:t>
            </w:r>
            <w:r>
              <w:rPr>
                <w:rFonts w:ascii="Times New Roman" w:hAnsi="Times New Roman" w:cs="Times New Roman"/>
                <w:sz w:val="24"/>
              </w:rPr>
              <w:t>/L))</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1.34 (1.09-1.64)</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0.005</w:t>
            </w: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On lipid-modifying medication</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0.71 (0.54-0.94)</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0.015</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On digoxin</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1.72 (1.09-2.70)</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0.019</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Log</w:t>
            </w:r>
            <w:r w:rsidRPr="004C3104">
              <w:rPr>
                <w:rFonts w:ascii="Times New Roman" w:hAnsi="Times New Roman" w:cs="Times New Roman"/>
                <w:sz w:val="24"/>
                <w:vertAlign w:val="subscript"/>
              </w:rPr>
              <w:t>e</w:t>
            </w:r>
            <w:r>
              <w:rPr>
                <w:rFonts w:ascii="Times New Roman" w:hAnsi="Times New Roman" w:cs="Times New Roman"/>
                <w:sz w:val="24"/>
              </w:rPr>
              <w:t>(urinary albumin:creatinine ratio (mg/mmol))</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1.22 (1.15-1.29)</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1.13 (1.04-1.22)</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0.003</w:t>
            </w: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1.30 (1.21-1.40)</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eGFR ≥90 ml/min/1.73 m</w:t>
            </w:r>
            <w:r w:rsidRPr="004C3104">
              <w:rPr>
                <w:rFonts w:ascii="Times New Roman" w:hAnsi="Times New Roman" w:cs="Times New Roman"/>
                <w:sz w:val="24"/>
                <w:vertAlign w:val="superscript"/>
              </w:rPr>
              <w:t>2</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1.42 (1.04-1.93)</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0.028</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eGFR &lt;30 ml/min/1.73 m</w:t>
            </w:r>
            <w:r w:rsidRPr="004C3104">
              <w:rPr>
                <w:rFonts w:ascii="Times New Roman" w:hAnsi="Times New Roman" w:cs="Times New Roman"/>
                <w:sz w:val="24"/>
                <w:vertAlign w:val="superscript"/>
              </w:rPr>
              <w:t>2</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2.76 (1.45-5.27)</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0.002</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Retinopathy present (any grade)</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1.32 (1.06-1.65)</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0.015</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1.63 (1.23-2.15)</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Peripheral sensory neuropathy present</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1.42 (1.20-1.69)</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1.30 (1.02-1.66)</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0.037</w:t>
            </w: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1.68 (1.33-2.12)</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Peripheral arterial disease present</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1.49 (1.25-1.76)</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1.55 (1.22-1.98)</w:t>
            </w:r>
          </w:p>
        </w:tc>
        <w:tc>
          <w:tcPr>
            <w:tcW w:w="993"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History of CHD</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1.29 (1.07-1.55)</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0.007</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excluded</w:t>
            </w: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2.03 (1.61-2.56)</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History of cerebrovascular disease</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1.65 (1.18-2.33)</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0.004</w:t>
            </w: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proofErr w:type="spellStart"/>
            <w:r>
              <w:rPr>
                <w:rFonts w:ascii="Times New Roman" w:hAnsi="Times New Roman" w:cs="Times New Roman"/>
                <w:sz w:val="24"/>
              </w:rPr>
              <w:t>Charlson</w:t>
            </w:r>
            <w:proofErr w:type="spellEnd"/>
            <w:r>
              <w:rPr>
                <w:rFonts w:ascii="Times New Roman" w:hAnsi="Times New Roman" w:cs="Times New Roman"/>
                <w:sz w:val="24"/>
              </w:rPr>
              <w:t xml:space="preserve"> Comorbidity Index:</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not considered</w:t>
            </w: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not considered</w:t>
            </w: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jc w:val="right"/>
              <w:rPr>
                <w:rFonts w:ascii="Times New Roman" w:hAnsi="Times New Roman" w:cs="Times New Roman"/>
                <w:sz w:val="24"/>
              </w:rPr>
            </w:pPr>
            <w:r>
              <w:rPr>
                <w:rFonts w:ascii="Times New Roman" w:hAnsi="Times New Roman" w:cs="Times New Roman"/>
                <w:sz w:val="24"/>
              </w:rPr>
              <w:t>0 (reference)</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1.00</w:t>
            </w: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jc w:val="right"/>
              <w:rPr>
                <w:rFonts w:ascii="Times New Roman" w:hAnsi="Times New Roman" w:cs="Times New Roman"/>
                <w:sz w:val="24"/>
              </w:rPr>
            </w:pPr>
            <w:r>
              <w:rPr>
                <w:rFonts w:ascii="Times New Roman" w:hAnsi="Times New Roman" w:cs="Times New Roman"/>
                <w:sz w:val="24"/>
              </w:rPr>
              <w:lastRenderedPageBreak/>
              <w:t>1-2</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1.61 (1.32-1.96)</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jc w:val="right"/>
              <w:rPr>
                <w:rFonts w:ascii="Times New Roman" w:hAnsi="Times New Roman" w:cs="Times New Roman"/>
                <w:sz w:val="24"/>
              </w:rPr>
            </w:pPr>
            <w:r>
              <w:rPr>
                <w:rFonts w:ascii="Times New Roman" w:hAnsi="Times New Roman" w:cs="Times New Roman"/>
                <w:sz w:val="24"/>
              </w:rPr>
              <w:t>≥3</w:t>
            </w:r>
          </w:p>
        </w:tc>
        <w:tc>
          <w:tcPr>
            <w:tcW w:w="198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2.63 (1.94-3.57)</w:t>
            </w:r>
          </w:p>
        </w:tc>
        <w:tc>
          <w:tcPr>
            <w:tcW w:w="1276"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&lt;0.001</w:t>
            </w: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001"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r>
      <w:tr w:rsidR="003F1EED" w:rsidTr="00C7208F">
        <w:tc>
          <w:tcPr>
            <w:tcW w:w="5211" w:type="dxa"/>
          </w:tcPr>
          <w:p w:rsidR="003F1EED" w:rsidRDefault="003F1EED" w:rsidP="003F1EED">
            <w:pPr>
              <w:spacing w:after="0" w:line="240" w:lineRule="auto"/>
              <w:rPr>
                <w:rFonts w:ascii="Times New Roman" w:hAnsi="Times New Roman" w:cs="Times New Roman"/>
                <w:sz w:val="24"/>
              </w:rPr>
            </w:pPr>
            <w:r>
              <w:rPr>
                <w:rFonts w:ascii="Times New Roman" w:hAnsi="Times New Roman" w:cs="Times New Roman"/>
                <w:sz w:val="24"/>
              </w:rPr>
              <w:t>Schizophrenia</w:t>
            </w:r>
          </w:p>
        </w:tc>
        <w:tc>
          <w:tcPr>
            <w:tcW w:w="1985"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276"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842"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993" w:type="dxa"/>
            <w:shd w:val="clear" w:color="auto" w:fill="BFBFBF" w:themeFill="background1" w:themeFillShade="BF"/>
          </w:tcPr>
          <w:p w:rsidR="003F1EED" w:rsidRDefault="003F1EED" w:rsidP="003F1EED">
            <w:pPr>
              <w:spacing w:after="0" w:line="240" w:lineRule="auto"/>
              <w:jc w:val="center"/>
              <w:rPr>
                <w:rFonts w:ascii="Times New Roman" w:hAnsi="Times New Roman" w:cs="Times New Roman"/>
                <w:sz w:val="24"/>
              </w:rPr>
            </w:pPr>
          </w:p>
        </w:tc>
        <w:tc>
          <w:tcPr>
            <w:tcW w:w="1975"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4.37 (1.06-17.91)</w:t>
            </w:r>
          </w:p>
        </w:tc>
        <w:tc>
          <w:tcPr>
            <w:tcW w:w="1001" w:type="dxa"/>
          </w:tcPr>
          <w:p w:rsidR="003F1EED" w:rsidRDefault="003F1EED" w:rsidP="003F1EED">
            <w:pPr>
              <w:spacing w:after="0" w:line="240" w:lineRule="auto"/>
              <w:jc w:val="center"/>
              <w:rPr>
                <w:rFonts w:ascii="Times New Roman" w:hAnsi="Times New Roman" w:cs="Times New Roman"/>
                <w:sz w:val="24"/>
              </w:rPr>
            </w:pPr>
            <w:r>
              <w:rPr>
                <w:rFonts w:ascii="Times New Roman" w:hAnsi="Times New Roman" w:cs="Times New Roman"/>
                <w:sz w:val="24"/>
              </w:rPr>
              <w:t>0.041</w:t>
            </w:r>
          </w:p>
        </w:tc>
      </w:tr>
    </w:tbl>
    <w:p w:rsidR="003F1EED" w:rsidRDefault="003F1EED" w:rsidP="003F1EED">
      <w:pPr>
        <w:spacing w:after="0"/>
        <w:rPr>
          <w:rFonts w:ascii="Times New Roman" w:hAnsi="Times New Roman" w:cs="Times New Roman"/>
          <w:sz w:val="24"/>
        </w:rPr>
      </w:pPr>
    </w:p>
    <w:p w:rsidR="003F1EED" w:rsidRDefault="003F1EED" w:rsidP="0085243D">
      <w:pPr>
        <w:spacing w:after="0" w:line="240" w:lineRule="auto"/>
        <w:rPr>
          <w:rFonts w:ascii="Times New Roman" w:hAnsi="Times New Roman" w:cs="Times New Roman"/>
          <w:sz w:val="24"/>
        </w:rPr>
      </w:pPr>
      <w:bookmarkStart w:id="0" w:name="_GoBack"/>
      <w:r>
        <w:rPr>
          <w:rFonts w:ascii="Times New Roman" w:hAnsi="Times New Roman" w:cs="Times New Roman"/>
          <w:sz w:val="24"/>
        </w:rPr>
        <w:t>*Note that the relationship with baseline age is negative. With age as the time scale, this reflects survivor bias in the recruited cohort in that those in their 70s and 80s at recruitment, for example, are different to those recruited in their 50s and 60s. The older participants have survived long enough to reach their 70s and 80s. The 50 and 60 year olds may not survive that long. In addition, the hazards for CHD and HF are cause-specific since those that die during follow-up before they have the event of interest (CHD or HF) are censored, so the competing risk of death before the event needs to be considered when interpreting these results.</w:t>
      </w:r>
    </w:p>
    <w:bookmarkEnd w:id="0"/>
    <w:p w:rsidR="00E51C09" w:rsidRDefault="0085243D"/>
    <w:sectPr w:rsidR="00E51C09" w:rsidSect="003F1EED">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ED"/>
    <w:rsid w:val="003F1EED"/>
    <w:rsid w:val="0085243D"/>
    <w:rsid w:val="008B6117"/>
    <w:rsid w:val="00FF4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FE16-E499-41F6-87FC-5702B579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Medicine and Dentistry, UWA</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dc:description/>
  <cp:lastModifiedBy>Tim Davis</cp:lastModifiedBy>
  <cp:revision>2</cp:revision>
  <dcterms:created xsi:type="dcterms:W3CDTF">2016-09-16T03:37:00Z</dcterms:created>
  <dcterms:modified xsi:type="dcterms:W3CDTF">2016-09-16T03:39:00Z</dcterms:modified>
</cp:coreProperties>
</file>