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6D" w:rsidRPr="00783CFA" w:rsidRDefault="00AC796D" w:rsidP="00783CFA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783CFA">
        <w:rPr>
          <w:rFonts w:ascii="Times New Roman" w:hAnsi="Times New Roman" w:cs="Times New Roman"/>
          <w:b/>
          <w:sz w:val="32"/>
          <w:szCs w:val="24"/>
          <w:lang w:val="en-US"/>
        </w:rPr>
        <w:t>Appendix</w:t>
      </w:r>
    </w:p>
    <w:p w:rsidR="00AC796D" w:rsidRPr="00AB3929" w:rsidRDefault="00AC796D" w:rsidP="00AB3929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3929" w:rsidRDefault="00AB3929" w:rsidP="00AB3929">
      <w:pPr>
        <w:spacing w:line="48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AB3929">
        <w:rPr>
          <w:rStyle w:val="Strong"/>
          <w:rFonts w:ascii="Times New Roman" w:hAnsi="Times New Roman" w:cs="Times New Roman"/>
          <w:sz w:val="24"/>
          <w:szCs w:val="24"/>
        </w:rPr>
        <w:t xml:space="preserve">Increased Epicardial Adipose Tissue Thickness is a Predictor of </w:t>
      </w:r>
    </w:p>
    <w:p w:rsidR="00AB3929" w:rsidRDefault="00AB3929" w:rsidP="00AB3929">
      <w:pPr>
        <w:spacing w:line="48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AB3929">
        <w:rPr>
          <w:rStyle w:val="Strong"/>
          <w:rFonts w:ascii="Times New Roman" w:hAnsi="Times New Roman" w:cs="Times New Roman"/>
          <w:sz w:val="24"/>
          <w:szCs w:val="24"/>
        </w:rPr>
        <w:t xml:space="preserve">New-Onset Diabetes Mellitus in Patients on High-Intensity Statin Therapy </w:t>
      </w:r>
    </w:p>
    <w:p w:rsidR="00AB3929" w:rsidRPr="00AB3929" w:rsidRDefault="00AB3929" w:rsidP="00AB3929">
      <w:pPr>
        <w:spacing w:line="48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proofErr w:type="gramStart"/>
      <w:r w:rsidRPr="00AB3929">
        <w:rPr>
          <w:rStyle w:val="Strong"/>
          <w:rFonts w:ascii="Times New Roman" w:hAnsi="Times New Roman" w:cs="Times New Roman"/>
          <w:sz w:val="24"/>
          <w:szCs w:val="24"/>
        </w:rPr>
        <w:t>after</w:t>
      </w:r>
      <w:proofErr w:type="gramEnd"/>
      <w:r w:rsidRPr="00AB3929">
        <w:rPr>
          <w:rStyle w:val="Strong"/>
          <w:rFonts w:ascii="Times New Roman" w:hAnsi="Times New Roman" w:cs="Times New Roman"/>
          <w:sz w:val="24"/>
          <w:szCs w:val="24"/>
        </w:rPr>
        <w:t xml:space="preserve"> Percutaneous Coronary Intervention</w:t>
      </w:r>
    </w:p>
    <w:p w:rsidR="00AB3929" w:rsidRDefault="00AB3929" w:rsidP="00783CFA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96D" w:rsidRPr="00783CFA" w:rsidRDefault="00AC796D" w:rsidP="00783CFA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11E7B">
        <w:rPr>
          <w:rFonts w:ascii="Times New Roman" w:hAnsi="Times New Roman" w:cs="Times New Roman"/>
          <w:sz w:val="24"/>
          <w:szCs w:val="24"/>
        </w:rPr>
        <w:t>Jeehoon</w:t>
      </w:r>
      <w:proofErr w:type="spellEnd"/>
      <w:r w:rsidRPr="00711E7B">
        <w:rPr>
          <w:rFonts w:ascii="Times New Roman" w:hAnsi="Times New Roman" w:cs="Times New Roman"/>
          <w:sz w:val="24"/>
          <w:szCs w:val="24"/>
        </w:rPr>
        <w:t xml:space="preserve"> Kang et al</w:t>
      </w:r>
      <w:r w:rsidRPr="00783CFA">
        <w:rPr>
          <w:rFonts w:ascii="Times New Roman" w:hAnsi="Times New Roman" w:cs="Times New Roman"/>
          <w:sz w:val="24"/>
          <w:szCs w:val="24"/>
        </w:rPr>
        <w:t>.</w:t>
      </w:r>
    </w:p>
    <w:p w:rsidR="00AC796D" w:rsidRPr="00783CFA" w:rsidRDefault="00AC796D" w:rsidP="00783CFA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96D" w:rsidRDefault="00AC796D" w:rsidP="00AC79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US"/>
        </w:rPr>
        <w:t xml:space="preserve">1. </w:t>
      </w:r>
      <w:r w:rsidR="00093A69">
        <w:rPr>
          <w:rFonts w:ascii="Times New Roman" w:hAnsi="Times New Roman" w:cs="Times New Roman"/>
          <w:b/>
          <w:sz w:val="24"/>
          <w:szCs w:val="24"/>
          <w:lang w:val="en-US"/>
        </w:rPr>
        <w:t>Additional file</w:t>
      </w:r>
      <w:r w:rsidRPr="0018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</w:p>
    <w:p w:rsidR="006E43D3" w:rsidRDefault="006E43D3" w:rsidP="00AC79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96D" w:rsidRDefault="00AC796D" w:rsidP="00AC79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US"/>
        </w:rPr>
        <w:t xml:space="preserve">2. </w:t>
      </w:r>
      <w:r w:rsidR="00093A69">
        <w:rPr>
          <w:rFonts w:ascii="Times New Roman" w:hAnsi="Times New Roman" w:cs="Times New Roman"/>
          <w:b/>
          <w:sz w:val="24"/>
          <w:szCs w:val="24"/>
          <w:lang w:val="en-US"/>
        </w:rPr>
        <w:t>Additional file</w:t>
      </w:r>
      <w:r w:rsidR="000543E7">
        <w:rPr>
          <w:rFonts w:ascii="Times New Roman Bold" w:hAnsi="Times New Roman Bold"/>
          <w:sz w:val="24"/>
        </w:rPr>
        <w:t xml:space="preserve"> Figures</w:t>
      </w:r>
      <w:r w:rsidR="00E050F3">
        <w:rPr>
          <w:rFonts w:ascii="Times New Roman Bold" w:hAnsi="Times New Roman Bold"/>
          <w:sz w:val="24"/>
        </w:rPr>
        <w:t xml:space="preserve"> an</w:t>
      </w:r>
      <w:r w:rsidR="00D819DA">
        <w:rPr>
          <w:rFonts w:ascii="Times New Roman Bold" w:hAnsi="Times New Roman Bold"/>
          <w:sz w:val="24"/>
        </w:rPr>
        <w:t>d Figure legends</w:t>
      </w:r>
    </w:p>
    <w:p w:rsidR="00AC796D" w:rsidRDefault="00AC796D" w:rsidP="00AC79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96D" w:rsidRDefault="00AC796D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AC796D" w:rsidRPr="00185C87" w:rsidRDefault="00AC796D" w:rsidP="00AC79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US"/>
        </w:rPr>
        <w:lastRenderedPageBreak/>
        <w:t xml:space="preserve">1. </w:t>
      </w:r>
      <w:r w:rsidR="00093A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</w:t>
      </w:r>
      <w:r w:rsidRPr="0018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</w:p>
    <w:p w:rsidR="0011096B" w:rsidRPr="002A69A8" w:rsidRDefault="0011096B" w:rsidP="0011096B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="00093A69">
        <w:rPr>
          <w:rFonts w:ascii="Times New Roman" w:hAnsi="Times New Roman" w:cs="Times New Roman"/>
          <w:b/>
          <w:sz w:val="24"/>
          <w:szCs w:val="24"/>
        </w:rPr>
        <w:t>S</w:t>
      </w:r>
      <w:r w:rsidR="002C0ED7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2A69A8">
        <w:rPr>
          <w:rFonts w:ascii="Times New Roman" w:hAnsi="Times New Roman" w:cs="Times New Roman"/>
          <w:b/>
          <w:sz w:val="24"/>
          <w:szCs w:val="24"/>
        </w:rPr>
        <w:t>. Changes in glucose tolerance status</w:t>
      </w:r>
    </w:p>
    <w:tbl>
      <w:tblPr>
        <w:tblStyle w:val="LightShading"/>
        <w:tblW w:w="0" w:type="auto"/>
        <w:tblLook w:val="04A0"/>
      </w:tblPr>
      <w:tblGrid>
        <w:gridCol w:w="2988"/>
        <w:gridCol w:w="3150"/>
        <w:gridCol w:w="1980"/>
        <w:gridCol w:w="1458"/>
      </w:tblGrid>
      <w:tr w:rsidR="0011096B" w:rsidTr="00D41B3D">
        <w:trPr>
          <w:cnfStyle w:val="100000000000"/>
        </w:trPr>
        <w:tc>
          <w:tcPr>
            <w:cnfStyle w:val="001000000000"/>
            <w:tcW w:w="61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96B" w:rsidRPr="00C00C5C" w:rsidRDefault="0011096B" w:rsidP="00D41B3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5C">
              <w:rPr>
                <w:rFonts w:ascii="Times New Roman" w:eastAsia="Apple SD 산돌고딕 Neo 일반체" w:hAnsi="Times New Roman" w:cs="Times New Roman"/>
                <w:sz w:val="24"/>
                <w:szCs w:val="24"/>
              </w:rPr>
              <w:t>Glucose tolerance status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6B" w:rsidRDefault="0011096B" w:rsidP="0011096B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96B" w:rsidRDefault="0011096B" w:rsidP="0011096B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</w:tr>
      <w:tr w:rsidR="0011096B" w:rsidTr="00D41B3D">
        <w:trPr>
          <w:cnfStyle w:val="000000100000"/>
        </w:trPr>
        <w:tc>
          <w:tcPr>
            <w:cnfStyle w:val="001000000000"/>
            <w:tcW w:w="2988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6B" w:rsidRPr="00D41B3D" w:rsidRDefault="002C0ED7" w:rsidP="00D41B3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Baseline</w:t>
            </w:r>
          </w:p>
        </w:tc>
        <w:tc>
          <w:tcPr>
            <w:tcW w:w="3150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6B" w:rsidRPr="00D41B3D" w:rsidRDefault="002C0ED7" w:rsidP="00D41B3D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F</w:t>
            </w:r>
            <w:r w:rsidR="00D41B3D" w:rsidRPr="00D41B3D">
              <w:rPr>
                <w:rFonts w:ascii="Times New Roman" w:hAnsi="Times New Roman" w:cs="Times New Roman"/>
                <w:b/>
                <w:sz w:val="24"/>
                <w:szCs w:val="24"/>
              </w:rPr>
              <w:t>ollow-up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6B" w:rsidRDefault="0011096B" w:rsidP="005573E3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96B" w:rsidRDefault="0011096B" w:rsidP="005573E3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6B" w:rsidTr="00D41B3D">
        <w:tc>
          <w:tcPr>
            <w:cnfStyle w:val="001000000000"/>
            <w:tcW w:w="29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96B" w:rsidRPr="002C0ED7" w:rsidRDefault="00D41B3D" w:rsidP="00D41B3D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b w:val="0"/>
                <w:sz w:val="24"/>
                <w:szCs w:val="24"/>
              </w:rPr>
              <w:t>Normal glucose tolerance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96B" w:rsidRPr="00D41B3D" w:rsidRDefault="00D41B3D" w:rsidP="00D41B3D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glucose tolerance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96B" w:rsidRDefault="0011096B" w:rsidP="005573E3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Progression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096B" w:rsidRPr="007A799E" w:rsidRDefault="00D41B3D" w:rsidP="007A799E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7A799E"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1096B"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31.5</w:t>
            </w:r>
            <w:r w:rsidR="0011096B"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%)</w:t>
            </w:r>
          </w:p>
        </w:tc>
      </w:tr>
      <w:tr w:rsidR="0011096B" w:rsidTr="00D41B3D">
        <w:trPr>
          <w:cnfStyle w:val="000000100000"/>
        </w:trPr>
        <w:tc>
          <w:tcPr>
            <w:cnfStyle w:val="001000000000"/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6B" w:rsidRPr="002C0ED7" w:rsidRDefault="00D41B3D" w:rsidP="00D41B3D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Prediabetes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6B" w:rsidRDefault="00D41B3D" w:rsidP="005573E3">
            <w:pPr>
              <w:spacing w:line="480" w:lineRule="auto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Prediabetes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6B" w:rsidRDefault="0011096B" w:rsidP="005573E3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96B" w:rsidRPr="007A799E" w:rsidRDefault="00D41B3D" w:rsidP="007A799E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7A799E"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11096B"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</w:t>
            </w:r>
            <w:r w:rsidR="007A799E"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1096B" w:rsidRPr="007A799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%)</w:t>
            </w:r>
          </w:p>
        </w:tc>
      </w:tr>
      <w:tr w:rsidR="0011096B" w:rsidTr="00D41B3D">
        <w:tc>
          <w:tcPr>
            <w:cnfStyle w:val="001000000000"/>
            <w:tcW w:w="2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96B" w:rsidRPr="002C0ED7" w:rsidRDefault="00D41B3D" w:rsidP="005573E3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b w:val="0"/>
                <w:sz w:val="24"/>
                <w:szCs w:val="24"/>
              </w:rPr>
              <w:t>Normal glucose tolerance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96B" w:rsidRPr="00D41B3D" w:rsidRDefault="00D41B3D" w:rsidP="002C0ED7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2C0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onset prediabetes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96B" w:rsidRDefault="0011096B" w:rsidP="005573E3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Progression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096B" w:rsidRPr="007A799E" w:rsidRDefault="00D41B3D" w:rsidP="005573E3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 (25.2</w:t>
            </w:r>
            <w:r w:rsidR="0011096B"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%)</w:t>
            </w:r>
          </w:p>
        </w:tc>
      </w:tr>
      <w:tr w:rsidR="0011096B" w:rsidTr="00D41B3D">
        <w:trPr>
          <w:cnfStyle w:val="000000100000"/>
        </w:trPr>
        <w:tc>
          <w:tcPr>
            <w:cnfStyle w:val="001000000000"/>
            <w:tcW w:w="2988" w:type="dxa"/>
            <w:tcBorders>
              <w:right w:val="single" w:sz="4" w:space="0" w:color="auto"/>
            </w:tcBorders>
            <w:shd w:val="clear" w:color="auto" w:fill="auto"/>
          </w:tcPr>
          <w:p w:rsidR="0011096B" w:rsidRPr="002C0ED7" w:rsidRDefault="00D41B3D" w:rsidP="005573E3">
            <w:pPr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b w:val="0"/>
                <w:sz w:val="24"/>
                <w:szCs w:val="24"/>
              </w:rPr>
              <w:t>Normal glucose tolerance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:rsidR="0011096B" w:rsidRDefault="00D41B3D" w:rsidP="002C0ED7">
            <w:pPr>
              <w:spacing w:line="480" w:lineRule="auto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2C0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onset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Diabetes Mellitus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96B" w:rsidRDefault="0011096B" w:rsidP="005573E3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1096B" w:rsidRPr="007A799E" w:rsidRDefault="00D41B3D" w:rsidP="00D41B3D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11096B"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2.8</w:t>
            </w:r>
            <w:r w:rsidR="0011096B"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%)</w:t>
            </w:r>
          </w:p>
        </w:tc>
      </w:tr>
      <w:tr w:rsidR="0011096B" w:rsidTr="00D41B3D">
        <w:tc>
          <w:tcPr>
            <w:cnfStyle w:val="001000000000"/>
            <w:tcW w:w="2988" w:type="dxa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11096B" w:rsidRPr="002C0ED7" w:rsidRDefault="00D41B3D" w:rsidP="00D41B3D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Prediabetes</w:t>
            </w:r>
            <w:r w:rsidRPr="002C0E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11096B" w:rsidRDefault="00D41B3D" w:rsidP="002C0ED7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2C0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onset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Diabetes Mellitus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11096B" w:rsidRDefault="0011096B" w:rsidP="005573E3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1096B" w:rsidRPr="007A799E" w:rsidRDefault="007A799E" w:rsidP="007A799E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  <w:r w:rsidR="0011096B"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10.3</w:t>
            </w:r>
            <w:r w:rsidR="0011096B" w:rsidRPr="007A79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%)</w:t>
            </w:r>
          </w:p>
        </w:tc>
      </w:tr>
    </w:tbl>
    <w:p w:rsidR="0011096B" w:rsidRDefault="0011096B" w:rsidP="0011096B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096B" w:rsidRDefault="0011096B" w:rsidP="00AC79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55D15" w:rsidRDefault="00455D15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796D" w:rsidRPr="004D434D" w:rsidRDefault="00AC796D" w:rsidP="00AC796D">
      <w:pPr>
        <w:kinsoku w:val="0"/>
        <w:wordWrap/>
        <w:overflowPunct w:val="0"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proofErr w:type="spellStart"/>
      <w:r w:rsidR="0009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2C0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spellEnd"/>
      <w:r w:rsidRPr="004D4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D434D">
        <w:rPr>
          <w:rFonts w:ascii="Times New Roman" w:hAnsi="Times New Roman" w:cs="Times New Roman"/>
          <w:b/>
          <w:color w:val="000000" w:themeColor="text1"/>
          <w:sz w:val="24"/>
        </w:rPr>
        <w:t xml:space="preserve">Baseline clinical characteristics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of the total population, </w:t>
      </w:r>
      <w:r w:rsidRPr="002A69A8">
        <w:rPr>
          <w:rFonts w:ascii="Times New Roman" w:hAnsi="Times New Roman" w:cs="Times New Roman"/>
          <w:b/>
          <w:color w:val="000000" w:themeColor="text1"/>
          <w:sz w:val="24"/>
        </w:rPr>
        <w:t>grouped by progression of glucose intolerance</w:t>
      </w:r>
    </w:p>
    <w:tbl>
      <w:tblPr>
        <w:tblStyle w:val="LightShading"/>
        <w:tblW w:w="9270" w:type="dxa"/>
        <w:tblInd w:w="108" w:type="dxa"/>
        <w:tblLook w:val="0420"/>
      </w:tblPr>
      <w:tblGrid>
        <w:gridCol w:w="3330"/>
        <w:gridCol w:w="2250"/>
        <w:gridCol w:w="2340"/>
        <w:gridCol w:w="1350"/>
      </w:tblGrid>
      <w:tr w:rsidR="00E050F3" w:rsidRPr="00E050F3" w:rsidTr="00E050F3">
        <w:trPr>
          <w:cnfStyle w:val="100000000000"/>
          <w:trHeight w:val="395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C796D" w:rsidRPr="00E050F3" w:rsidRDefault="00AC796D" w:rsidP="00E05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C796D" w:rsidRPr="00E050F3" w:rsidRDefault="00AC796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Progression (n=1</w:t>
            </w:r>
            <w:r w:rsidR="00D41B3D"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23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C796D" w:rsidRPr="00E050F3" w:rsidRDefault="00AC796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No progression (n=</w:t>
            </w:r>
            <w:r w:rsidR="00D41B3D"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198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C796D" w:rsidRPr="00E050F3" w:rsidRDefault="00AC796D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P value</w:t>
            </w:r>
          </w:p>
        </w:tc>
      </w:tr>
      <w:tr w:rsidR="00E050F3" w:rsidRPr="00E050F3" w:rsidTr="00E050F3">
        <w:trPr>
          <w:cnfStyle w:val="000000100000"/>
          <w:trHeight w:val="362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rPr>
                <w:rFonts w:ascii="Times New Roman" w:eastAsia="Malgun Gothic" w:hAnsi="Times New Roman" w:cs="Times New Roman"/>
                <w:b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b/>
                <w:kern w:val="24"/>
                <w:sz w:val="24"/>
                <w:szCs w:val="24"/>
              </w:rPr>
              <w:t>Demographic findings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E050F3" w:rsidRPr="00E050F3" w:rsidTr="00E050F3">
        <w:trPr>
          <w:trHeight w:val="362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Age (years)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59.2±11.4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60.4±13.5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0.412</w:t>
            </w:r>
          </w:p>
        </w:tc>
      </w:tr>
      <w:tr w:rsidR="00E050F3" w:rsidRPr="00E050F3" w:rsidTr="00E050F3">
        <w:trPr>
          <w:cnfStyle w:val="000000100000"/>
          <w:trHeight w:val="362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41B3D" w:rsidRPr="00E050F3" w:rsidRDefault="00D41B3D" w:rsidP="00E05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Sex (male ratio, %)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89 (72.4%)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149 (75.3%)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</w:tr>
      <w:tr w:rsidR="00E050F3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BMI (kg/m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vertAlign w:val="superscript"/>
              </w:rPr>
              <w:t>2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25.3±2.9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25.1±3.1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0.622</w:t>
            </w:r>
          </w:p>
        </w:tc>
      </w:tr>
      <w:tr w:rsidR="00E050F3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E321E1" w:rsidRPr="00E050F3" w:rsidRDefault="00E321E1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  BMI &gt; 25 kg/m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E321E1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62 (50.4%)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E321E1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95 (48.0%)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321E1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0.672</w:t>
            </w:r>
          </w:p>
        </w:tc>
      </w:tr>
      <w:tr w:rsidR="00E050F3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Clinical diagnosis (%)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0.412</w:t>
            </w:r>
          </w:p>
        </w:tc>
      </w:tr>
      <w:tr w:rsidR="00E050F3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  Stable angina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43 (34.9%)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72 (36.3%)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E050F3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  Unstable angina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17 (13.8%)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31 (15.7%)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E050F3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  NSTEMI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31 (25.2%)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33 (16.7%)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E050F3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  STEMI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32 (26.0%)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E321E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62 (31.3%)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E050F3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Hypertension (%)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050B3D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50 (40.7%)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050B3D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77 (38.9%)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050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0.754</w:t>
            </w:r>
          </w:p>
        </w:tc>
      </w:tr>
      <w:tr w:rsidR="00E050F3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Current Smoking (%)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050B3D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33 (26.8%)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050B3D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51 (25.8%)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050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0.832</w:t>
            </w:r>
          </w:p>
        </w:tc>
      </w:tr>
      <w:tr w:rsidR="00E050F3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D41B3D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Bronchial Asthma (%)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050B3D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1 (0.8%)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D41B3D" w:rsidRPr="00E050F3" w:rsidRDefault="00050B3D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4 (2.0%)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D41B3D" w:rsidRPr="00E050F3" w:rsidRDefault="00050B3D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0.396</w:t>
            </w:r>
          </w:p>
        </w:tc>
      </w:tr>
      <w:tr w:rsidR="00E050F3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E050F3" w:rsidRPr="00E050F3" w:rsidRDefault="00E050F3" w:rsidP="0040427A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Previous CVA (%)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E050F3" w:rsidRPr="00E050F3" w:rsidRDefault="00E050F3" w:rsidP="00404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9 (4.5%)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E050F3" w:rsidRPr="00E050F3" w:rsidRDefault="00E050F3" w:rsidP="00404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2 (1.6%)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050F3" w:rsidRPr="00E050F3" w:rsidRDefault="00E050F3" w:rsidP="0040427A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0.215</w:t>
            </w:r>
          </w:p>
        </w:tc>
      </w:tr>
      <w:tr w:rsidR="00E050F3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COPD (%)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4 (3.3%)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5 (2.5%)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0.701</w:t>
            </w:r>
          </w:p>
        </w:tc>
      </w:tr>
      <w:tr w:rsidR="00E050F3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Dyslipidemia (%)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31 (25.2%)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49 (24.7%)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0.927</w:t>
            </w:r>
          </w:p>
        </w:tc>
      </w:tr>
      <w:tr w:rsidR="00E050F3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Prediabetes 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(%)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&lt;0.001</w:t>
            </w:r>
          </w:p>
        </w:tc>
      </w:tr>
      <w:tr w:rsidR="00E050F3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rPr>
                <w:rFonts w:ascii="Times New Roman" w:eastAsia="Malgun Gothic" w:hAnsi="Times New Roman" w:cs="Times New Roman"/>
                <w:b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b/>
                <w:kern w:val="24"/>
                <w:sz w:val="24"/>
                <w:szCs w:val="24"/>
              </w:rPr>
              <w:t>Laboratory findings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050F3" w:rsidRPr="00E050F3" w:rsidRDefault="00E050F3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8D010D" w:rsidRDefault="00455D15" w:rsidP="0040427A">
            <w:pP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WBC (/</w:t>
            </w:r>
            <w:proofErr w:type="spellStart"/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μL</w:t>
            </w:r>
            <w:proofErr w:type="spellEnd"/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8900±3870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8710±3410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0.645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8D010D" w:rsidRDefault="00455D15" w:rsidP="0040427A">
            <w:pP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Hemoglobin</w:t>
            </w:r>
            <w:proofErr w:type="spellEnd"/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(g/</w:t>
            </w:r>
            <w:proofErr w:type="spellStart"/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dL</w:t>
            </w:r>
            <w:proofErr w:type="spellEnd"/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14.7±1.7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14.4±1.6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0.112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8D010D" w:rsidRDefault="00455D15" w:rsidP="0040427A">
            <w:pP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Fasting blood glucose </w:t>
            </w:r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(mg/dl)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94.2±12.1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91.1±13.4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0.049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HbA1c (% / mmol/mol)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5.8±0.6 / 39.4±6.5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5.7±0.3 / 38.5±3.7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0.185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Total cholesterol (mg/dl)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213±49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209±44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0.517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lastRenderedPageBreak/>
              <w:t>Triglyceride (mg/dl)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173±125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158±103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0.237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HDL-cholesterol (mg/dl)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44±11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44±9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0.570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LDL-cholesterol (mg/dl)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133±38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132±35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0.820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Serum creatinine (mg/dl)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0.89±0.35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0.89±0.22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0.946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hsCRP</w:t>
            </w:r>
            <w:proofErr w:type="spellEnd"/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(mg/dl)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0.42±1.23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F3">
              <w:rPr>
                <w:rFonts w:ascii="Times New Roman" w:hAnsi="Times New Roman" w:cs="Times New Roman"/>
                <w:sz w:val="24"/>
                <w:szCs w:val="24"/>
              </w:rPr>
              <w:t>0.62±1.67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0.275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b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b/>
                <w:kern w:val="24"/>
                <w:sz w:val="24"/>
                <w:szCs w:val="24"/>
              </w:rPr>
              <w:t xml:space="preserve">Echocardiography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LVEDD (mm)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9576F2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4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7.9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±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4.9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48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.1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±6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.0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9576F2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697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LVESD (mm)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9576F2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3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0.8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±5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.7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9576F2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32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.1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±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7.1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9576F2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071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LV ejection fraction (%)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9576F2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59.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2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±8.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9576F2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57.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5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±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9.8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9576F2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</w:t>
            </w:r>
            <w:r w:rsidR="009576F2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109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5C26D5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Left atrium </w:t>
            </w:r>
            <w:r w:rsidR="005C26D5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dimension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(</w:t>
            </w:r>
            <w:r w:rsidR="005C26D5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mm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5C26D5" w:rsidP="005C26D5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36.9</w:t>
            </w:r>
            <w:r w:rsidR="00455D15"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±</w:t>
            </w: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5.1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5C26D5" w:rsidP="005C26D5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37.8±</w:t>
            </w:r>
            <w:r w:rsidR="00455D15"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6.</w:t>
            </w: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5C26D5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</w:t>
            </w:r>
            <w:r w:rsidR="005C26D5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178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EAT diastole (mm)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1.9±1.1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1.7±1.1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0.245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EAT systole (mm)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4.4±1.8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3.9±1.6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0.010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b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b/>
                <w:kern w:val="24"/>
                <w:sz w:val="24"/>
                <w:szCs w:val="24"/>
              </w:rPr>
              <w:t xml:space="preserve">Baseline medication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Aspirin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123 (100%)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198 (100%)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NA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Clopidogrel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123 (100%)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197 (99.5%)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0.430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ACE inhibitor or ARB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105 (85.4%)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170 (85.9%)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0.903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Beta blockers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96 (78.0%)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150 (75.8%)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0.637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Thiazides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14 (11.4%)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22 (11.1%)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0.940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Systemic steroid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11 (8.9%)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19 (9.6%)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0.845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8D010D" w:rsidRDefault="00455D15" w:rsidP="0040427A">
            <w:pP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Statin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0.938</w:t>
            </w: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8D010D" w:rsidRDefault="00455D15" w:rsidP="0040427A">
            <w:pP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  Atorvastatin 40mg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77 (62.6%)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127 (64.1%)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8D010D" w:rsidRDefault="00455D15" w:rsidP="0040427A">
            <w:pP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 </w:t>
            </w: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Atorvastatin 80mg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23 (18.7%)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34 (17.2%)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8D010D" w:rsidRDefault="00455D15" w:rsidP="00D07D71">
            <w:pP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 </w:t>
            </w: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Rosuvastatin </w:t>
            </w:r>
            <w:proofErr w:type="spellStart"/>
            <w:r w:rsidR="00D07D71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2</w:t>
            </w:r>
            <w:r w:rsidRPr="008D010D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0mg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23 (18.7%)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37 (18.7%)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D07D71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Statin duration</w:t>
            </w:r>
            <w:r w:rsidR="00D07D71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(days)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</w:p>
        </w:tc>
      </w:tr>
      <w:tr w:rsidR="00455D15" w:rsidRPr="00E050F3" w:rsidTr="00E050F3">
        <w:trPr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 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Total statin duration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1230±511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1114±512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0.050</w:t>
            </w:r>
          </w:p>
        </w:tc>
      </w:tr>
      <w:tr w:rsidR="00455D15" w:rsidRPr="00E050F3" w:rsidTr="00E050F3">
        <w:trPr>
          <w:cnfStyle w:val="000000100000"/>
          <w:trHeight w:val="454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 xml:space="preserve">  </w:t>
            </w: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High intensity statin duration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D07D71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9</w:t>
            </w:r>
            <w:r w:rsidR="00455D15"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74±512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940±532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55D15" w:rsidRPr="00E050F3" w:rsidRDefault="00455D15" w:rsidP="00E050F3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</w:pPr>
            <w:r w:rsidRPr="00E050F3">
              <w:rPr>
                <w:rFonts w:ascii="Times New Roman" w:eastAsia="Malgun Gothic" w:hAnsi="Times New Roman" w:cs="Times New Roman"/>
                <w:kern w:val="24"/>
                <w:sz w:val="24"/>
                <w:szCs w:val="24"/>
              </w:rPr>
              <w:t>0.570</w:t>
            </w:r>
          </w:p>
        </w:tc>
      </w:tr>
    </w:tbl>
    <w:p w:rsidR="00AC796D" w:rsidRDefault="00AC796D" w:rsidP="00AC79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D434D">
        <w:rPr>
          <w:rFonts w:ascii="Times New Roman" w:hAnsi="Times New Roman" w:cs="Times New Roman"/>
          <w:color w:val="000000" w:themeColor="text1"/>
          <w:sz w:val="24"/>
        </w:rPr>
        <w:t>ACE, angiotensin-converting enzyme; ARB, angiotensin-receptor blocker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BMI</w:t>
      </w:r>
      <w:r w:rsidRPr="004D434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body mass index</w:t>
      </w:r>
      <w:r w:rsidRPr="004D434D">
        <w:rPr>
          <w:rFonts w:ascii="Times New Roman" w:hAnsi="Times New Roman" w:cs="Times New Roman"/>
          <w:color w:val="000000" w:themeColor="text1"/>
          <w:sz w:val="24"/>
        </w:rPr>
        <w:t>;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COPD, chronic </w:t>
      </w:r>
      <w:r>
        <w:rPr>
          <w:rFonts w:ascii="Times New Roman" w:hAnsi="Times New Roman" w:cs="Times New Roman"/>
          <w:color w:val="000000" w:themeColor="text1"/>
          <w:sz w:val="24"/>
        </w:rPr>
        <w:t>obstructive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pulmonary disease; CVA, cerebrovascular accident; EAT, </w:t>
      </w:r>
      <w:r>
        <w:rPr>
          <w:rFonts w:ascii="Times New Roman" w:hAnsi="Times New Roman" w:cs="Times New Roman" w:hint="eastAsia"/>
          <w:color w:val="000000" w:themeColor="text1"/>
          <w:sz w:val="24"/>
        </w:rPr>
        <w:lastRenderedPageBreak/>
        <w:t xml:space="preserve">epicardial adipose tissue; </w:t>
      </w:r>
      <w:r w:rsidRPr="004D434D">
        <w:rPr>
          <w:rFonts w:ascii="Times New Roman" w:hAnsi="Times New Roman" w:cs="Times New Roman"/>
          <w:color w:val="000000" w:themeColor="text1"/>
          <w:sz w:val="24"/>
        </w:rPr>
        <w:t xml:space="preserve">HDL, high density lipoprotein; </w:t>
      </w:r>
      <w:proofErr w:type="spellStart"/>
      <w:r w:rsidRPr="004D434D">
        <w:rPr>
          <w:rFonts w:ascii="Times New Roman" w:hAnsi="Times New Roman" w:cs="Times New Roman"/>
          <w:color w:val="000000" w:themeColor="text1"/>
          <w:sz w:val="24"/>
        </w:rPr>
        <w:t>hsCRP</w:t>
      </w:r>
      <w:proofErr w:type="spellEnd"/>
      <w:r w:rsidRPr="004D434D">
        <w:rPr>
          <w:rFonts w:ascii="Times New Roman" w:hAnsi="Times New Roman" w:cs="Times New Roman"/>
          <w:color w:val="000000" w:themeColor="text1"/>
          <w:sz w:val="24"/>
        </w:rPr>
        <w:t>, high-sensitivity C-reactive protein; ISR, in-stent restenosis; LDL, low density lipoprotein; LV, left ventricular; LV</w:t>
      </w:r>
      <w:r>
        <w:rPr>
          <w:rFonts w:ascii="Times New Roman" w:hAnsi="Times New Roman" w:cs="Times New Roman" w:hint="eastAsia"/>
          <w:color w:val="000000" w:themeColor="text1"/>
          <w:sz w:val="24"/>
        </w:rPr>
        <w:t>EDD</w:t>
      </w:r>
      <w:r w:rsidRPr="004D434D">
        <w:rPr>
          <w:rFonts w:ascii="Times New Roman" w:hAnsi="Times New Roman" w:cs="Times New Roman"/>
          <w:color w:val="000000" w:themeColor="text1"/>
          <w:sz w:val="24"/>
        </w:rPr>
        <w:t>, left ventricular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end diastolic dimension;</w:t>
      </w:r>
      <w:r w:rsidRPr="004D434D">
        <w:rPr>
          <w:rFonts w:ascii="Times New Roman" w:hAnsi="Times New Roman" w:cs="Times New Roman"/>
          <w:color w:val="000000" w:themeColor="text1"/>
          <w:sz w:val="24"/>
        </w:rPr>
        <w:t xml:space="preserve"> LV</w:t>
      </w:r>
      <w:r>
        <w:rPr>
          <w:rFonts w:ascii="Times New Roman" w:hAnsi="Times New Roman" w:cs="Times New Roman" w:hint="eastAsia"/>
          <w:color w:val="000000" w:themeColor="text1"/>
          <w:sz w:val="24"/>
        </w:rPr>
        <w:t>ESD</w:t>
      </w:r>
      <w:r w:rsidRPr="004D434D">
        <w:rPr>
          <w:rFonts w:ascii="Times New Roman" w:hAnsi="Times New Roman" w:cs="Times New Roman"/>
          <w:color w:val="000000" w:themeColor="text1"/>
          <w:sz w:val="24"/>
        </w:rPr>
        <w:t>, left ventricular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end systolic dimension;</w:t>
      </w:r>
      <w:r w:rsidRPr="004D434D">
        <w:rPr>
          <w:rFonts w:ascii="Times New Roman" w:hAnsi="Times New Roman" w:cs="Times New Roman"/>
          <w:color w:val="000000" w:themeColor="text1"/>
          <w:sz w:val="24"/>
        </w:rPr>
        <w:t xml:space="preserve"> MI,</w:t>
      </w:r>
      <w:r w:rsidRPr="006B49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D434D">
        <w:rPr>
          <w:rFonts w:ascii="Times New Roman" w:hAnsi="Times New Roman" w:cs="Times New Roman"/>
          <w:color w:val="000000" w:themeColor="text1"/>
          <w:sz w:val="24"/>
        </w:rPr>
        <w:t>myocardial infarction; NSTEMI, non-ST-segment elevation myocardial infarction; STEMI, ST-segment elevation myocardial infarction</w:t>
      </w:r>
      <w:r>
        <w:rPr>
          <w:rFonts w:ascii="Times New Roman" w:hAnsi="Times New Roman" w:cs="Times New Roman" w:hint="eastAsia"/>
          <w:color w:val="000000" w:themeColor="text1"/>
          <w:sz w:val="24"/>
        </w:rPr>
        <w:t>; WBC, white blood cell</w:t>
      </w:r>
    </w:p>
    <w:p w:rsidR="005C26D5" w:rsidRDefault="005C26D5" w:rsidP="00AC796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677B29" w:rsidRDefault="00677B29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A4CC5" w:rsidRPr="002C0ED7" w:rsidRDefault="005C26D5" w:rsidP="000A4CC5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E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proofErr w:type="spellStart"/>
      <w:r w:rsidR="00D37B4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C0ED7" w:rsidRPr="002C0ED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proofErr w:type="spellEnd"/>
      <w:r w:rsidRPr="002C0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C0ED7" w:rsidRPr="002C0ED7">
        <w:rPr>
          <w:rFonts w:ascii="Times New Roman" w:hAnsi="Times New Roman" w:cs="Times New Roman"/>
          <w:b/>
          <w:sz w:val="24"/>
          <w:szCs w:val="24"/>
        </w:rPr>
        <w:t>Multivariate analysis for</w:t>
      </w:r>
      <w:r w:rsidR="002C0ED7" w:rsidRPr="002C0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4CC5" w:rsidRPr="002C0ED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spellStart"/>
      <w:r w:rsidR="000A4CC5" w:rsidRPr="002C0ED7">
        <w:rPr>
          <w:rFonts w:ascii="Times New Roman" w:hAnsi="Times New Roman" w:cs="Times New Roman"/>
          <w:b/>
          <w:sz w:val="24"/>
          <w:szCs w:val="24"/>
        </w:rPr>
        <w:t>rogression</w:t>
      </w:r>
      <w:proofErr w:type="spellEnd"/>
      <w:r w:rsidR="000A4CC5" w:rsidRPr="002C0ED7">
        <w:rPr>
          <w:rFonts w:ascii="Times New Roman" w:hAnsi="Times New Roman" w:cs="Times New Roman"/>
          <w:b/>
          <w:sz w:val="24"/>
          <w:szCs w:val="24"/>
        </w:rPr>
        <w:t xml:space="preserve"> in impairment of glucose tolerance</w:t>
      </w:r>
    </w:p>
    <w:tbl>
      <w:tblPr>
        <w:tblStyle w:val="LightShading"/>
        <w:tblW w:w="0" w:type="auto"/>
        <w:tblLook w:val="04A0"/>
      </w:tblPr>
      <w:tblGrid>
        <w:gridCol w:w="4158"/>
        <w:gridCol w:w="1170"/>
        <w:gridCol w:w="3060"/>
        <w:gridCol w:w="1188"/>
      </w:tblGrid>
      <w:tr w:rsidR="000A4CC5" w:rsidRPr="007F1028" w:rsidTr="0040427A">
        <w:trPr>
          <w:cnfStyle w:val="100000000000"/>
        </w:trPr>
        <w:tc>
          <w:tcPr>
            <w:cnfStyle w:val="001000000000"/>
            <w:tcW w:w="4158" w:type="dxa"/>
            <w:tcBorders>
              <w:right w:val="single" w:sz="4" w:space="0" w:color="auto"/>
            </w:tcBorders>
            <w:shd w:val="clear" w:color="auto" w:fill="auto"/>
          </w:tcPr>
          <w:p w:rsidR="000A4CC5" w:rsidRPr="003E1173" w:rsidRDefault="000A4CC5" w:rsidP="0040427A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3E1173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0A4CC5" w:rsidRPr="003E1173" w:rsidRDefault="000A4CC5" w:rsidP="0040427A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73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3060" w:type="dxa"/>
            <w:shd w:val="clear" w:color="auto" w:fill="auto"/>
          </w:tcPr>
          <w:p w:rsidR="000A4CC5" w:rsidRPr="003E1173" w:rsidRDefault="000A4CC5" w:rsidP="0040427A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73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188" w:type="dxa"/>
            <w:shd w:val="clear" w:color="auto" w:fill="auto"/>
          </w:tcPr>
          <w:p w:rsidR="000A4CC5" w:rsidRPr="003E1173" w:rsidRDefault="000A4CC5" w:rsidP="0040427A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A4CC5" w:rsidRPr="007F1028" w:rsidTr="0040427A">
        <w:trPr>
          <w:cnfStyle w:val="000000100000"/>
        </w:trPr>
        <w:tc>
          <w:tcPr>
            <w:cnfStyle w:val="001000000000"/>
            <w:tcW w:w="4158" w:type="dxa"/>
            <w:tcBorders>
              <w:right w:val="single" w:sz="4" w:space="0" w:color="auto"/>
            </w:tcBorders>
            <w:shd w:val="clear" w:color="auto" w:fill="auto"/>
          </w:tcPr>
          <w:p w:rsidR="000A4CC5" w:rsidRPr="003E1173" w:rsidRDefault="000A4CC5" w:rsidP="0040427A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7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3060" w:type="dxa"/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0.965 – 1.008</w:t>
            </w:r>
          </w:p>
        </w:tc>
        <w:tc>
          <w:tcPr>
            <w:tcW w:w="1188" w:type="dxa"/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</w:tr>
      <w:tr w:rsidR="000A4CC5" w:rsidRPr="007F1028" w:rsidTr="0040427A">
        <w:tc>
          <w:tcPr>
            <w:cnfStyle w:val="001000000000"/>
            <w:tcW w:w="4158" w:type="dxa"/>
            <w:tcBorders>
              <w:right w:val="single" w:sz="4" w:space="0" w:color="auto"/>
            </w:tcBorders>
            <w:shd w:val="clear" w:color="auto" w:fill="auto"/>
          </w:tcPr>
          <w:p w:rsidR="000A4CC5" w:rsidRDefault="002C0ED7" w:rsidP="000A4CC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sex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0A4CC5" w:rsidRDefault="000A4CC5" w:rsidP="0040427A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1.068</w:t>
            </w:r>
          </w:p>
        </w:tc>
        <w:tc>
          <w:tcPr>
            <w:tcW w:w="3060" w:type="dxa"/>
            <w:shd w:val="clear" w:color="auto" w:fill="auto"/>
          </w:tcPr>
          <w:p w:rsidR="000A4CC5" w:rsidRDefault="000A4CC5" w:rsidP="0040427A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0.597 – 1.910</w:t>
            </w:r>
          </w:p>
        </w:tc>
        <w:tc>
          <w:tcPr>
            <w:tcW w:w="1188" w:type="dxa"/>
            <w:shd w:val="clear" w:color="auto" w:fill="auto"/>
          </w:tcPr>
          <w:p w:rsidR="000A4CC5" w:rsidRDefault="000A4CC5" w:rsidP="0040427A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0.824</w:t>
            </w:r>
          </w:p>
        </w:tc>
      </w:tr>
      <w:tr w:rsidR="000A4CC5" w:rsidRPr="007F1028" w:rsidTr="0040427A">
        <w:trPr>
          <w:cnfStyle w:val="000000100000"/>
        </w:trPr>
        <w:tc>
          <w:tcPr>
            <w:cnfStyle w:val="001000000000"/>
            <w:tcW w:w="4158" w:type="dxa"/>
            <w:tcBorders>
              <w:right w:val="single" w:sz="4" w:space="0" w:color="auto"/>
            </w:tcBorders>
            <w:shd w:val="clear" w:color="auto" w:fill="auto"/>
          </w:tcPr>
          <w:p w:rsidR="000A4CC5" w:rsidRPr="003E1173" w:rsidRDefault="000A4CC5" w:rsidP="000A4CC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1.019</w:t>
            </w:r>
          </w:p>
        </w:tc>
        <w:tc>
          <w:tcPr>
            <w:tcW w:w="3060" w:type="dxa"/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0.935 – 1.109</w:t>
            </w:r>
          </w:p>
        </w:tc>
        <w:tc>
          <w:tcPr>
            <w:tcW w:w="1188" w:type="dxa"/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</w:p>
        </w:tc>
      </w:tr>
      <w:tr w:rsidR="000A4CC5" w:rsidRPr="007F1028" w:rsidTr="0040427A">
        <w:tc>
          <w:tcPr>
            <w:cnfStyle w:val="001000000000"/>
            <w:tcW w:w="4158" w:type="dxa"/>
            <w:tcBorders>
              <w:right w:val="single" w:sz="4" w:space="0" w:color="auto"/>
            </w:tcBorders>
            <w:shd w:val="clear" w:color="auto" w:fill="auto"/>
          </w:tcPr>
          <w:p w:rsidR="000A4CC5" w:rsidRPr="003E1173" w:rsidRDefault="000A4CC5" w:rsidP="0040427A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ypertension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1.040</w:t>
            </w:r>
          </w:p>
        </w:tc>
        <w:tc>
          <w:tcPr>
            <w:tcW w:w="3060" w:type="dxa"/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0.623 – 1.736</w:t>
            </w:r>
          </w:p>
        </w:tc>
        <w:tc>
          <w:tcPr>
            <w:tcW w:w="1188" w:type="dxa"/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0.880</w:t>
            </w:r>
          </w:p>
        </w:tc>
      </w:tr>
      <w:tr w:rsidR="000A4CC5" w:rsidRPr="007F1028" w:rsidTr="0040427A">
        <w:trPr>
          <w:cnfStyle w:val="000000100000"/>
        </w:trPr>
        <w:tc>
          <w:tcPr>
            <w:cnfStyle w:val="001000000000"/>
            <w:tcW w:w="4158" w:type="dxa"/>
            <w:tcBorders>
              <w:right w:val="single" w:sz="4" w:space="0" w:color="auto"/>
            </w:tcBorders>
            <w:shd w:val="clear" w:color="auto" w:fill="auto"/>
          </w:tcPr>
          <w:p w:rsidR="000A4CC5" w:rsidRPr="003E1173" w:rsidRDefault="000A4CC5" w:rsidP="0040427A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Prediabetes</w:t>
            </w:r>
            <w:r w:rsidRPr="003E1173">
              <w:rPr>
                <w:rFonts w:ascii="Times New Roman" w:hAnsi="Times New Roman" w:cs="Times New Roman"/>
                <w:sz w:val="24"/>
                <w:szCs w:val="24"/>
              </w:rPr>
              <w:t xml:space="preserve"> at baseline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0A4CC5" w:rsidRPr="007F1028" w:rsidRDefault="000A4CC5" w:rsidP="0040427A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3.265</w:t>
            </w:r>
          </w:p>
        </w:tc>
        <w:tc>
          <w:tcPr>
            <w:tcW w:w="3060" w:type="dxa"/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1.919 – 5.555</w:t>
            </w:r>
          </w:p>
        </w:tc>
        <w:tc>
          <w:tcPr>
            <w:tcW w:w="1188" w:type="dxa"/>
            <w:shd w:val="clear" w:color="auto" w:fill="auto"/>
          </w:tcPr>
          <w:p w:rsidR="000A4CC5" w:rsidRPr="007F1028" w:rsidRDefault="000A4CC5" w:rsidP="0040427A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4CC5" w:rsidRPr="007F1028" w:rsidTr="002C0ED7">
        <w:tc>
          <w:tcPr>
            <w:cnfStyle w:val="001000000000"/>
            <w:tcW w:w="4158" w:type="dxa"/>
            <w:tcBorders>
              <w:right w:val="single" w:sz="4" w:space="0" w:color="auto"/>
            </w:tcBorders>
            <w:shd w:val="clear" w:color="auto" w:fill="auto"/>
          </w:tcPr>
          <w:p w:rsidR="000A4CC5" w:rsidRPr="003E1173" w:rsidRDefault="000A4CC5" w:rsidP="0040427A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B6">
              <w:rPr>
                <w:rFonts w:ascii="Times New Roman" w:hAnsi="Times New Roman" w:cs="Times New Roman"/>
                <w:sz w:val="24"/>
                <w:szCs w:val="24"/>
              </w:rPr>
              <w:t>EAT thickness at systole (per mm)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1.309</w:t>
            </w:r>
          </w:p>
        </w:tc>
        <w:tc>
          <w:tcPr>
            <w:tcW w:w="3060" w:type="dxa"/>
            <w:shd w:val="clear" w:color="auto" w:fill="auto"/>
          </w:tcPr>
          <w:p w:rsidR="000A4CC5" w:rsidRPr="007F1028" w:rsidRDefault="000A4CC5" w:rsidP="000A4CC5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1.117 – 1.534</w:t>
            </w:r>
          </w:p>
        </w:tc>
        <w:tc>
          <w:tcPr>
            <w:tcW w:w="1188" w:type="dxa"/>
            <w:shd w:val="clear" w:color="auto" w:fill="auto"/>
          </w:tcPr>
          <w:p w:rsidR="000A4CC5" w:rsidRPr="007F1028" w:rsidRDefault="000A4CC5" w:rsidP="0040427A">
            <w:pPr>
              <w:widowControl/>
              <w:wordWrap/>
              <w:autoSpaceDE/>
              <w:autoSpaceDN/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C0ED7" w:rsidRPr="007F1028" w:rsidTr="0040427A">
        <w:trPr>
          <w:cnfStyle w:val="000000100000"/>
        </w:trPr>
        <w:tc>
          <w:tcPr>
            <w:cnfStyle w:val="001000000000"/>
            <w:tcW w:w="4158" w:type="dxa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2C0ED7" w:rsidRPr="002318B6" w:rsidRDefault="002C0ED7" w:rsidP="0040427A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statin duration (per year)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2C0ED7" w:rsidRPr="007F1028" w:rsidRDefault="002C0ED7" w:rsidP="00997C28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1.149</w:t>
            </w:r>
          </w:p>
        </w:tc>
        <w:tc>
          <w:tcPr>
            <w:tcW w:w="3060" w:type="dxa"/>
            <w:shd w:val="clear" w:color="auto" w:fill="auto"/>
          </w:tcPr>
          <w:p w:rsidR="002C0ED7" w:rsidRPr="007F1028" w:rsidRDefault="002C0ED7" w:rsidP="00997C28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0.967 – 1.366</w:t>
            </w:r>
          </w:p>
        </w:tc>
        <w:tc>
          <w:tcPr>
            <w:tcW w:w="1188" w:type="dxa"/>
            <w:shd w:val="clear" w:color="auto" w:fill="auto"/>
          </w:tcPr>
          <w:p w:rsidR="002C0ED7" w:rsidRPr="007F1028" w:rsidRDefault="002C0ED7" w:rsidP="00997C28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</w:tr>
    </w:tbl>
    <w:p w:rsidR="000A4CC5" w:rsidRDefault="000A4CC5" w:rsidP="000A4CC5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4CC5" w:rsidRDefault="000A4CC5" w:rsidP="000A4CC5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BMI</w:t>
      </w:r>
      <w:r w:rsidRPr="004D434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body mass index</w:t>
      </w:r>
      <w:r w:rsidRPr="004D434D"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EAT, epicardial adipose tissue</w:t>
      </w:r>
    </w:p>
    <w:sectPr w:rsidR="000A4CC5" w:rsidSect="0075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F3" w:rsidRDefault="007F37F3" w:rsidP="000543E7">
      <w:pPr>
        <w:spacing w:after="0" w:line="240" w:lineRule="auto"/>
      </w:pPr>
      <w:r>
        <w:separator/>
      </w:r>
    </w:p>
  </w:endnote>
  <w:endnote w:type="continuationSeparator" w:id="0">
    <w:p w:rsidR="007F37F3" w:rsidRDefault="007F37F3" w:rsidP="0005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Apple SD 산돌고딕 Neo 일반체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F3" w:rsidRDefault="007F37F3" w:rsidP="000543E7">
      <w:pPr>
        <w:spacing w:after="0" w:line="240" w:lineRule="auto"/>
      </w:pPr>
      <w:r>
        <w:separator/>
      </w:r>
    </w:p>
  </w:footnote>
  <w:footnote w:type="continuationSeparator" w:id="0">
    <w:p w:rsidR="007F37F3" w:rsidRDefault="007F37F3" w:rsidP="0005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60ED"/>
    <w:multiLevelType w:val="hybridMultilevel"/>
    <w:tmpl w:val="07EC4E04"/>
    <w:lvl w:ilvl="0" w:tplc="AD6202B4">
      <w:start w:val="16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markup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96D"/>
    <w:rsid w:val="00050B3D"/>
    <w:rsid w:val="000543E7"/>
    <w:rsid w:val="00093A69"/>
    <w:rsid w:val="000A4CC5"/>
    <w:rsid w:val="0011096B"/>
    <w:rsid w:val="00144307"/>
    <w:rsid w:val="0018683C"/>
    <w:rsid w:val="001F14C8"/>
    <w:rsid w:val="00277F0E"/>
    <w:rsid w:val="0029623F"/>
    <w:rsid w:val="002C0ED7"/>
    <w:rsid w:val="002D6294"/>
    <w:rsid w:val="003B742B"/>
    <w:rsid w:val="004059FE"/>
    <w:rsid w:val="0040672F"/>
    <w:rsid w:val="00455D15"/>
    <w:rsid w:val="004D2ABB"/>
    <w:rsid w:val="005125E5"/>
    <w:rsid w:val="0058038E"/>
    <w:rsid w:val="005B127A"/>
    <w:rsid w:val="005C26D5"/>
    <w:rsid w:val="00677B29"/>
    <w:rsid w:val="006E43D3"/>
    <w:rsid w:val="00711E7B"/>
    <w:rsid w:val="00722BCF"/>
    <w:rsid w:val="00752AEC"/>
    <w:rsid w:val="00755002"/>
    <w:rsid w:val="00762FFF"/>
    <w:rsid w:val="00766AAE"/>
    <w:rsid w:val="00783CFA"/>
    <w:rsid w:val="007A799E"/>
    <w:rsid w:val="007F37F3"/>
    <w:rsid w:val="00830A34"/>
    <w:rsid w:val="008567B1"/>
    <w:rsid w:val="00871B25"/>
    <w:rsid w:val="0095142B"/>
    <w:rsid w:val="009535A4"/>
    <w:rsid w:val="009576F2"/>
    <w:rsid w:val="00993CEB"/>
    <w:rsid w:val="009D510A"/>
    <w:rsid w:val="00A91A43"/>
    <w:rsid w:val="00AB3929"/>
    <w:rsid w:val="00AC796D"/>
    <w:rsid w:val="00B95A46"/>
    <w:rsid w:val="00C6026A"/>
    <w:rsid w:val="00D07D71"/>
    <w:rsid w:val="00D24542"/>
    <w:rsid w:val="00D37B44"/>
    <w:rsid w:val="00D41B3D"/>
    <w:rsid w:val="00D47F3A"/>
    <w:rsid w:val="00D819DA"/>
    <w:rsid w:val="00DE6339"/>
    <w:rsid w:val="00E050F3"/>
    <w:rsid w:val="00E321E1"/>
    <w:rsid w:val="00EE70C1"/>
    <w:rsid w:val="00F3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6D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C79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5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E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E7"/>
    <w:pPr>
      <w:spacing w:after="0" w:line="240" w:lineRule="auto"/>
    </w:pPr>
    <w:rPr>
      <w:rFonts w:ascii="Ebrima" w:hAnsi="Ebri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E7"/>
    <w:rPr>
      <w:rFonts w:ascii="Ebrima" w:hAnsi="Ebrima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59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F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F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9FE"/>
    <w:rPr>
      <w:b/>
      <w:bCs/>
      <w:lang w:val="en-GB"/>
    </w:rPr>
  </w:style>
  <w:style w:type="paragraph" w:styleId="NoSpacing">
    <w:name w:val="No Spacing"/>
    <w:uiPriority w:val="1"/>
    <w:qFormat/>
    <w:rsid w:val="00E050F3"/>
    <w:pPr>
      <w:widowControl w:val="0"/>
      <w:wordWrap w:val="0"/>
      <w:autoSpaceDE w:val="0"/>
      <w:autoSpaceDN w:val="0"/>
      <w:spacing w:after="0" w:line="240" w:lineRule="auto"/>
    </w:pPr>
    <w:rPr>
      <w:lang w:val="en-GB"/>
    </w:rPr>
  </w:style>
  <w:style w:type="character" w:styleId="Strong">
    <w:name w:val="Strong"/>
    <w:basedOn w:val="DefaultParagraphFont"/>
    <w:qFormat/>
    <w:rsid w:val="00783C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6D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C79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05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0543E7"/>
    <w:rPr>
      <w:lang w:val="en-GB"/>
    </w:rPr>
  </w:style>
  <w:style w:type="paragraph" w:styleId="a5">
    <w:name w:val="footer"/>
    <w:basedOn w:val="a"/>
    <w:link w:val="Char0"/>
    <w:uiPriority w:val="99"/>
    <w:unhideWhenUsed/>
    <w:rsid w:val="0005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0543E7"/>
    <w:rPr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0543E7"/>
    <w:pPr>
      <w:spacing w:after="0" w:line="240" w:lineRule="auto"/>
    </w:pPr>
    <w:rPr>
      <w:rFonts w:ascii="Ebrima" w:hAnsi="Ebrima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543E7"/>
    <w:rPr>
      <w:rFonts w:ascii="Ebrima" w:hAnsi="Ebrima"/>
      <w:sz w:val="18"/>
      <w:szCs w:val="18"/>
      <w:lang w:val="en-GB"/>
    </w:rPr>
  </w:style>
  <w:style w:type="character" w:styleId="a7">
    <w:name w:val="annotation reference"/>
    <w:basedOn w:val="a0"/>
    <w:uiPriority w:val="99"/>
    <w:semiHidden/>
    <w:unhideWhenUsed/>
    <w:rsid w:val="004059FE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4059FE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4059FE"/>
    <w:rPr>
      <w:lang w:val="en-GB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059FE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4059FE"/>
    <w:rPr>
      <w:b/>
      <w:bCs/>
      <w:lang w:val="en-GB"/>
    </w:rPr>
  </w:style>
  <w:style w:type="paragraph" w:styleId="aa">
    <w:name w:val="No Spacing"/>
    <w:uiPriority w:val="1"/>
    <w:qFormat/>
    <w:rsid w:val="00E050F3"/>
    <w:pPr>
      <w:widowControl w:val="0"/>
      <w:wordWrap w:val="0"/>
      <w:autoSpaceDE w:val="0"/>
      <w:autoSpaceDN w:val="0"/>
      <w:spacing w:after="0" w:line="240" w:lineRule="auto"/>
    </w:pPr>
    <w:rPr>
      <w:lang w:val="en-GB"/>
    </w:rPr>
  </w:style>
  <w:style w:type="character" w:styleId="ab">
    <w:name w:val="Strong"/>
    <w:basedOn w:val="a0"/>
    <w:qFormat/>
    <w:rsid w:val="00783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C23E-9CE4-4D98-903B-B1AA2A01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Jeehoon Kang</dc:creator>
  <cp:lastModifiedBy>0013359</cp:lastModifiedBy>
  <cp:revision>12</cp:revision>
  <dcterms:created xsi:type="dcterms:W3CDTF">2017-08-08T13:23:00Z</dcterms:created>
  <dcterms:modified xsi:type="dcterms:W3CDTF">2017-12-27T13:31:00Z</dcterms:modified>
</cp:coreProperties>
</file>