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65" w:rsidRDefault="004D1765" w:rsidP="004D1765">
      <w:pPr>
        <w:spacing w:line="276" w:lineRule="auto"/>
        <w:rPr>
          <w:rFonts w:cs="Times New Roman"/>
          <w:b/>
          <w:bCs/>
        </w:rPr>
      </w:pPr>
      <w:r>
        <w:rPr>
          <w:rFonts w:cs="Times New Roman"/>
          <w:b/>
          <w:bCs/>
        </w:rPr>
        <w:t xml:space="preserve">Figure 2 </w:t>
      </w:r>
      <w:proofErr w:type="gramStart"/>
      <w:r>
        <w:rPr>
          <w:rFonts w:cs="Times New Roman"/>
          <w:b/>
          <w:bCs/>
        </w:rPr>
        <w:t>Framework</w:t>
      </w:r>
      <w:proofErr w:type="gramEnd"/>
      <w:r>
        <w:rPr>
          <w:rFonts w:cs="Times New Roman"/>
          <w:b/>
          <w:bCs/>
        </w:rPr>
        <w:t xml:space="preserve"> for Analysis of the Social Determinants of Health</w:t>
      </w:r>
    </w:p>
    <w:p w:rsidR="004D1765" w:rsidRDefault="004D1765" w:rsidP="004D1765">
      <w:pPr>
        <w:spacing w:line="276" w:lineRule="auto"/>
        <w:rPr>
          <w:rFonts w:cs="Times New Roman"/>
          <w:b/>
          <w:bCs/>
        </w:rPr>
      </w:pPr>
    </w:p>
    <w:p w:rsidR="004D1765" w:rsidRPr="00C30035" w:rsidRDefault="004D1765" w:rsidP="004D1765">
      <w:pPr>
        <w:spacing w:line="276" w:lineRule="auto"/>
        <w:rPr>
          <w:rFonts w:cs="Times New Roman"/>
          <w:lang w:val="en-GB"/>
        </w:rPr>
      </w:pPr>
      <w:r w:rsidRPr="00231968">
        <w:rPr>
          <w:rFonts w:cs="Times New Roman"/>
          <w:b/>
          <w:noProof/>
          <w:lang w:val="en-AU" w:eastAsia="en-AU" w:bidi="ar-SA"/>
        </w:rPr>
        <w:pict>
          <v:shapetype id="_x0000_t202" coordsize="21600,21600" o:spt="202" path="m,l,21600r21600,l21600,xe">
            <v:stroke joinstyle="miter"/>
            <v:path gradientshapeok="t" o:connecttype="rect"/>
          </v:shapetype>
          <v:shape id="_x0000_s1027" type="#_x0000_t202" style="position:absolute;margin-left:280.1pt;margin-top:1.25pt;width:204pt;height:242.25pt;z-index:251660288" fillcolor="#dbe5f1">
            <v:textbox style="mso-next-textbox:#_x0000_s1027">
              <w:txbxContent>
                <w:p w:rsidR="004D1765" w:rsidRDefault="004D1765" w:rsidP="004D1765">
                  <w:pPr>
                    <w:rPr>
                      <w:sz w:val="20"/>
                      <w:szCs w:val="20"/>
                    </w:rPr>
                  </w:pPr>
                  <w:r w:rsidRPr="00CD2E16">
                    <w:rPr>
                      <w:sz w:val="20"/>
                      <w:szCs w:val="20"/>
                    </w:rPr>
                    <w:t xml:space="preserve">Limited work opportunity means that people cannot </w:t>
                  </w:r>
                  <w:r>
                    <w:rPr>
                      <w:sz w:val="20"/>
                      <w:szCs w:val="20"/>
                    </w:rPr>
                    <w:t xml:space="preserve">always afford to meet the recurrent </w:t>
                  </w:r>
                  <w:r w:rsidRPr="00CD2E16">
                    <w:rPr>
                      <w:sz w:val="20"/>
                      <w:szCs w:val="20"/>
                    </w:rPr>
                    <w:t xml:space="preserve">expenses of food, health and education. </w:t>
                  </w:r>
                </w:p>
                <w:p w:rsidR="004D1765" w:rsidRDefault="004D1765" w:rsidP="004D1765">
                  <w:pPr>
                    <w:rPr>
                      <w:sz w:val="20"/>
                      <w:szCs w:val="20"/>
                    </w:rPr>
                  </w:pPr>
                  <w:r w:rsidRPr="00CD2E16">
                    <w:rPr>
                      <w:sz w:val="20"/>
                      <w:szCs w:val="20"/>
                    </w:rPr>
                    <w:t>C</w:t>
                  </w:r>
                  <w:r>
                    <w:rPr>
                      <w:sz w:val="20"/>
                      <w:szCs w:val="20"/>
                    </w:rPr>
                    <w:t xml:space="preserve">hildren </w:t>
                  </w:r>
                  <w:r w:rsidRPr="00CD2E16">
                    <w:rPr>
                      <w:sz w:val="20"/>
                      <w:szCs w:val="20"/>
                    </w:rPr>
                    <w:t>without a basic education then find it difficult</w:t>
                  </w:r>
                  <w:r>
                    <w:rPr>
                      <w:sz w:val="20"/>
                      <w:szCs w:val="20"/>
                    </w:rPr>
                    <w:t xml:space="preserve"> when they are young adults </w:t>
                  </w:r>
                  <w:r w:rsidRPr="00CD2E16">
                    <w:rPr>
                      <w:sz w:val="20"/>
                      <w:szCs w:val="20"/>
                    </w:rPr>
                    <w:t>to escape this cycle of poverty and deprivation</w:t>
                  </w:r>
                  <w:r>
                    <w:rPr>
                      <w:sz w:val="20"/>
                      <w:szCs w:val="20"/>
                    </w:rPr>
                    <w:t>.</w:t>
                  </w:r>
                </w:p>
                <w:p w:rsidR="004D1765" w:rsidRPr="00CD2E16" w:rsidRDefault="004D1765" w:rsidP="004D1765">
                  <w:pPr>
                    <w:rPr>
                      <w:sz w:val="20"/>
                      <w:szCs w:val="20"/>
                    </w:rPr>
                  </w:pPr>
                  <w:r w:rsidRPr="00CD2E16">
                    <w:rPr>
                      <w:sz w:val="20"/>
                      <w:szCs w:val="20"/>
                    </w:rPr>
                    <w:t>People live in an environment they report negatively affects their health, resulting in high health care expenditures</w:t>
                  </w:r>
                  <w:r>
                    <w:rPr>
                      <w:sz w:val="20"/>
                      <w:szCs w:val="20"/>
                    </w:rPr>
                    <w:t xml:space="preserve"> and poor health. </w:t>
                  </w:r>
                  <w:r w:rsidRPr="00CD2E16">
                    <w:rPr>
                      <w:sz w:val="20"/>
                      <w:szCs w:val="20"/>
                    </w:rPr>
                    <w:t xml:space="preserve">  </w:t>
                  </w:r>
                </w:p>
                <w:p w:rsidR="004D1765" w:rsidRPr="00CD2E16" w:rsidRDefault="004D1765" w:rsidP="004D1765">
                  <w:pPr>
                    <w:rPr>
                      <w:i/>
                      <w:iCs/>
                      <w:sz w:val="20"/>
                      <w:szCs w:val="20"/>
                    </w:rPr>
                  </w:pPr>
                  <w:r>
                    <w:rPr>
                      <w:sz w:val="20"/>
                      <w:szCs w:val="20"/>
                    </w:rPr>
                    <w:t>F</w:t>
                  </w:r>
                  <w:r w:rsidRPr="00CD2E16">
                    <w:rPr>
                      <w:sz w:val="20"/>
                      <w:szCs w:val="20"/>
                    </w:rPr>
                    <w:t xml:space="preserve">amilies </w:t>
                  </w:r>
                  <w:r>
                    <w:rPr>
                      <w:sz w:val="20"/>
                      <w:szCs w:val="20"/>
                    </w:rPr>
                    <w:t xml:space="preserve">then </w:t>
                  </w:r>
                  <w:r w:rsidRPr="00CD2E16">
                    <w:rPr>
                      <w:sz w:val="20"/>
                      <w:szCs w:val="20"/>
                    </w:rPr>
                    <w:t>become “locked” into a system of poverty which distances them from wider society</w:t>
                  </w:r>
                  <w:r>
                    <w:rPr>
                      <w:sz w:val="20"/>
                      <w:szCs w:val="20"/>
                    </w:rPr>
                    <w:t xml:space="preserve"> both functionally and spatially. </w:t>
                  </w:r>
                  <w:r w:rsidRPr="00CD2E16">
                    <w:rPr>
                      <w:sz w:val="20"/>
                      <w:szCs w:val="20"/>
                    </w:rPr>
                    <w:t xml:space="preserve"> Solutions therefore require structural or ‘systematic’ approaches. </w:t>
                  </w:r>
                  <w:r>
                    <w:rPr>
                      <w:sz w:val="20"/>
                      <w:szCs w:val="20"/>
                    </w:rPr>
                    <w:t>Health and health access are therefore not a distinct sector or “slice” of life. It is meshed with the reality of daily living conditions with its backdrop of surrounding environmental space and limited access to various forms of social support.</w:t>
                  </w:r>
                </w:p>
                <w:p w:rsidR="004D1765" w:rsidRPr="00CD2E16" w:rsidRDefault="004D1765" w:rsidP="004D1765"/>
              </w:txbxContent>
            </v:textbox>
          </v:shape>
        </w:pict>
      </w:r>
      <w:r>
        <w:rPr>
          <w:rFonts w:cs="Times New Roman"/>
          <w:b/>
          <w:noProof/>
          <w:lang w:bidi="ar-SA"/>
        </w:rPr>
        <w:drawing>
          <wp:inline distT="0" distB="0" distL="0" distR="0">
            <wp:extent cx="3533775" cy="3067050"/>
            <wp:effectExtent l="19050" t="19050" r="28575" b="19050"/>
            <wp:docPr id="1"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5" cstate="print"/>
                    <a:srcRect l="-9065" t="-1160" r="-10011"/>
                    <a:stretch>
                      <a:fillRect/>
                    </a:stretch>
                  </pic:blipFill>
                  <pic:spPr bwMode="auto">
                    <a:xfrm>
                      <a:off x="0" y="0"/>
                      <a:ext cx="3533775" cy="3067050"/>
                    </a:xfrm>
                    <a:prstGeom prst="rect">
                      <a:avLst/>
                    </a:prstGeom>
                    <a:noFill/>
                    <a:ln w="6350" cmpd="sng">
                      <a:solidFill>
                        <a:srgbClr val="000000"/>
                      </a:solidFill>
                      <a:miter lim="800000"/>
                      <a:headEnd/>
                      <a:tailEnd/>
                    </a:ln>
                    <a:effectLst/>
                  </pic:spPr>
                </pic:pic>
              </a:graphicData>
            </a:graphic>
          </wp:inline>
        </w:drawing>
      </w:r>
      <w:r>
        <w:rPr>
          <w:rFonts w:cs="Times New Roman"/>
          <w:b/>
          <w:bCs/>
        </w:rPr>
        <w:br w:type="page"/>
      </w:r>
      <w:r w:rsidRPr="00C30035">
        <w:rPr>
          <w:rFonts w:cs="Times New Roman"/>
          <w:lang w:val="en-GB"/>
        </w:rPr>
        <w:lastRenderedPageBreak/>
        <w:t xml:space="preserve"> </w:t>
      </w:r>
    </w:p>
    <w:p w:rsidR="00C72274" w:rsidRDefault="00C72274"/>
    <w:sectPr w:rsidR="00C72274" w:rsidSect="00C72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324CD"/>
    <w:multiLevelType w:val="hybridMultilevel"/>
    <w:tmpl w:val="6C28D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1765"/>
    <w:rsid w:val="004D1765"/>
    <w:rsid w:val="009E2C26"/>
    <w:rsid w:val="00AD5488"/>
    <w:rsid w:val="00C7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65"/>
    <w:pPr>
      <w:spacing w:after="0" w:line="240" w:lineRule="auto"/>
    </w:pPr>
    <w:rPr>
      <w:rFonts w:eastAsia="Times New Roman" w:cs="Angsana New"/>
      <w:szCs w:val="24"/>
      <w:vertAlign w:val="baseline"/>
      <w:lang w:bidi="he-IL"/>
    </w:rPr>
  </w:style>
  <w:style w:type="paragraph" w:styleId="Heading2">
    <w:name w:val="heading 2"/>
    <w:basedOn w:val="Normal"/>
    <w:next w:val="Normal"/>
    <w:link w:val="Heading2Char"/>
    <w:qFormat/>
    <w:rsid w:val="004D17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1765"/>
    <w:rPr>
      <w:rFonts w:ascii="Arial" w:eastAsia="Times New Roman" w:hAnsi="Arial" w:cs="Arial"/>
      <w:b/>
      <w:bCs/>
      <w:i/>
      <w:iCs/>
      <w:sz w:val="28"/>
      <w:szCs w:val="28"/>
      <w:vertAlign w:val="baseline"/>
      <w:lang w:bidi="he-IL"/>
    </w:rPr>
  </w:style>
  <w:style w:type="paragraph" w:styleId="BalloonText">
    <w:name w:val="Balloon Text"/>
    <w:basedOn w:val="Normal"/>
    <w:link w:val="BalloonTextChar"/>
    <w:uiPriority w:val="99"/>
    <w:semiHidden/>
    <w:unhideWhenUsed/>
    <w:rsid w:val="004D1765"/>
    <w:rPr>
      <w:rFonts w:ascii="Tahoma" w:hAnsi="Tahoma" w:cs="Tahoma"/>
      <w:sz w:val="16"/>
      <w:szCs w:val="16"/>
    </w:rPr>
  </w:style>
  <w:style w:type="character" w:customStyle="1" w:styleId="BalloonTextChar">
    <w:name w:val="Balloon Text Char"/>
    <w:basedOn w:val="DefaultParagraphFont"/>
    <w:link w:val="BalloonText"/>
    <w:uiPriority w:val="99"/>
    <w:semiHidden/>
    <w:rsid w:val="004D1765"/>
    <w:rPr>
      <w:rFonts w:ascii="Tahoma" w:eastAsia="Times New Roman" w:hAnsi="Tahoma" w:cs="Tahoma"/>
      <w:sz w:val="16"/>
      <w:szCs w:val="16"/>
      <w:vertAlign w:val="baseline"/>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2012-05-24T13:44:00Z</dcterms:created>
  <dcterms:modified xsi:type="dcterms:W3CDTF">2012-05-24T13:45:00Z</dcterms:modified>
</cp:coreProperties>
</file>