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0D1D6" w14:textId="77777777" w:rsidR="007B4F16" w:rsidRDefault="007B4F16" w:rsidP="007B4F16">
      <w:pPr>
        <w:pStyle w:val="Heading1"/>
      </w:pPr>
      <w:r>
        <w:t>Additional file 4</w:t>
      </w:r>
    </w:p>
    <w:p w14:paraId="4F5EE133" w14:textId="77777777" w:rsidR="007B4F16" w:rsidRPr="00602140" w:rsidRDefault="007B4F16" w:rsidP="007B4F16">
      <w:pPr>
        <w:pStyle w:val="Heading2"/>
      </w:pPr>
      <w:r w:rsidRPr="00602140">
        <w:t>Systematic scoping review of FWB research utilisation</w:t>
      </w:r>
    </w:p>
    <w:p w14:paraId="05F23A65" w14:textId="77777777" w:rsidR="007B4F16" w:rsidRPr="00602140" w:rsidRDefault="007B4F16" w:rsidP="007B4F16">
      <w:pPr>
        <w:pStyle w:val="Heading3"/>
      </w:pPr>
      <w:r>
        <w:t>Table summarising seven accounts of Family Wellbeing research utilisation</w:t>
      </w:r>
    </w:p>
    <w:tbl>
      <w:tblPr>
        <w:tblStyle w:val="TableGrid"/>
        <w:tblW w:w="5000" w:type="pct"/>
        <w:tblLook w:val="04A0" w:firstRow="1" w:lastRow="0" w:firstColumn="1" w:lastColumn="0" w:noHBand="0" w:noVBand="1"/>
      </w:tblPr>
      <w:tblGrid>
        <w:gridCol w:w="938"/>
        <w:gridCol w:w="1914"/>
        <w:gridCol w:w="2340"/>
        <w:gridCol w:w="4198"/>
        <w:gridCol w:w="4558"/>
      </w:tblGrid>
      <w:tr w:rsidR="007B4F16" w:rsidRPr="00661C99" w14:paraId="107F726C" w14:textId="77777777" w:rsidTr="00035AB3">
        <w:trPr>
          <w:tblHeader/>
        </w:trPr>
        <w:tc>
          <w:tcPr>
            <w:tcW w:w="336" w:type="pct"/>
          </w:tcPr>
          <w:p w14:paraId="38B6F881" w14:textId="77777777" w:rsidR="007B4F16" w:rsidRPr="00661C99" w:rsidRDefault="007B4F16" w:rsidP="00035AB3">
            <w:pPr>
              <w:pStyle w:val="Default"/>
              <w:spacing w:line="480" w:lineRule="auto"/>
              <w:rPr>
                <w:rFonts w:ascii="Times New Roman" w:hAnsi="Times New Roman" w:cs="Times New Roman"/>
                <w:b/>
                <w:bCs/>
                <w:color w:val="auto"/>
                <w:sz w:val="20"/>
                <w:szCs w:val="20"/>
              </w:rPr>
            </w:pPr>
          </w:p>
        </w:tc>
        <w:tc>
          <w:tcPr>
            <w:tcW w:w="686" w:type="pct"/>
          </w:tcPr>
          <w:p w14:paraId="5E682F19" w14:textId="77777777" w:rsidR="007B4F16" w:rsidRPr="00661C99" w:rsidRDefault="007B4F16" w:rsidP="00035AB3">
            <w:pPr>
              <w:pStyle w:val="Default"/>
              <w:spacing w:line="480" w:lineRule="auto"/>
              <w:rPr>
                <w:rFonts w:ascii="Times New Roman" w:hAnsi="Times New Roman" w:cs="Times New Roman"/>
                <w:b/>
                <w:bCs/>
                <w:color w:val="auto"/>
                <w:sz w:val="20"/>
                <w:szCs w:val="20"/>
              </w:rPr>
            </w:pPr>
            <w:r w:rsidRPr="00661C99">
              <w:rPr>
                <w:rFonts w:ascii="Times New Roman" w:hAnsi="Times New Roman" w:cs="Times New Roman"/>
                <w:b/>
                <w:bCs/>
                <w:color w:val="auto"/>
                <w:sz w:val="20"/>
                <w:szCs w:val="20"/>
              </w:rPr>
              <w:t>1</w:t>
            </w:r>
            <w:r w:rsidRPr="00661C99">
              <w:rPr>
                <w:rFonts w:ascii="Times New Roman" w:hAnsi="Times New Roman" w:cs="Times New Roman"/>
                <w:b/>
                <w:bCs/>
                <w:color w:val="auto"/>
                <w:sz w:val="20"/>
                <w:szCs w:val="20"/>
                <w:vertAlign w:val="superscript"/>
              </w:rPr>
              <w:t>st</w:t>
            </w:r>
            <w:r w:rsidRPr="00661C99">
              <w:rPr>
                <w:rFonts w:ascii="Times New Roman" w:hAnsi="Times New Roman" w:cs="Times New Roman"/>
                <w:b/>
                <w:bCs/>
                <w:color w:val="auto"/>
                <w:sz w:val="20"/>
                <w:szCs w:val="20"/>
              </w:rPr>
              <w:t xml:space="preserve"> author, date</w:t>
            </w:r>
          </w:p>
        </w:tc>
        <w:tc>
          <w:tcPr>
            <w:tcW w:w="839" w:type="pct"/>
          </w:tcPr>
          <w:p w14:paraId="5DE3C1CC" w14:textId="77777777" w:rsidR="007B4F16" w:rsidRPr="00661C99" w:rsidRDefault="007B4F16" w:rsidP="00035AB3">
            <w:pPr>
              <w:pStyle w:val="Default"/>
              <w:spacing w:line="480" w:lineRule="auto"/>
              <w:rPr>
                <w:rFonts w:ascii="Times New Roman" w:hAnsi="Times New Roman" w:cs="Times New Roman"/>
                <w:b/>
                <w:bCs/>
                <w:color w:val="auto"/>
                <w:sz w:val="20"/>
                <w:szCs w:val="20"/>
              </w:rPr>
            </w:pPr>
            <w:r w:rsidRPr="00661C99">
              <w:rPr>
                <w:rFonts w:ascii="Times New Roman" w:hAnsi="Times New Roman" w:cs="Times New Roman"/>
                <w:b/>
                <w:bCs/>
                <w:color w:val="auto"/>
                <w:sz w:val="20"/>
                <w:szCs w:val="20"/>
              </w:rPr>
              <w:t>Description</w:t>
            </w:r>
          </w:p>
        </w:tc>
        <w:tc>
          <w:tcPr>
            <w:tcW w:w="1505" w:type="pct"/>
          </w:tcPr>
          <w:p w14:paraId="058EA8A6" w14:textId="77777777" w:rsidR="007B4F16" w:rsidRPr="00661C99" w:rsidRDefault="007B4F16" w:rsidP="00035AB3">
            <w:pPr>
              <w:pStyle w:val="Default"/>
              <w:spacing w:line="480" w:lineRule="auto"/>
              <w:rPr>
                <w:rFonts w:ascii="Times New Roman" w:hAnsi="Times New Roman" w:cs="Times New Roman"/>
                <w:b/>
                <w:bCs/>
                <w:color w:val="auto"/>
                <w:sz w:val="20"/>
                <w:szCs w:val="20"/>
              </w:rPr>
            </w:pPr>
            <w:r w:rsidRPr="00661C99">
              <w:rPr>
                <w:rFonts w:ascii="Times New Roman" w:hAnsi="Times New Roman" w:cs="Times New Roman"/>
                <w:b/>
                <w:bCs/>
                <w:color w:val="auto"/>
                <w:sz w:val="20"/>
                <w:szCs w:val="20"/>
              </w:rPr>
              <w:t>Evidence of research utilisation</w:t>
            </w:r>
          </w:p>
        </w:tc>
        <w:tc>
          <w:tcPr>
            <w:tcW w:w="1635" w:type="pct"/>
          </w:tcPr>
          <w:p w14:paraId="4CE88D3E" w14:textId="77777777" w:rsidR="007B4F16" w:rsidRPr="00661C99" w:rsidRDefault="007B4F16" w:rsidP="00035AB3">
            <w:pPr>
              <w:pStyle w:val="Default"/>
              <w:spacing w:line="480" w:lineRule="auto"/>
              <w:rPr>
                <w:rFonts w:ascii="Times New Roman" w:hAnsi="Times New Roman" w:cs="Times New Roman"/>
                <w:b/>
                <w:bCs/>
                <w:color w:val="auto"/>
                <w:sz w:val="20"/>
                <w:szCs w:val="20"/>
              </w:rPr>
            </w:pPr>
            <w:r w:rsidRPr="00661C99">
              <w:rPr>
                <w:rFonts w:ascii="Times New Roman" w:hAnsi="Times New Roman" w:cs="Times New Roman"/>
                <w:b/>
                <w:bCs/>
                <w:color w:val="auto"/>
                <w:sz w:val="20"/>
                <w:szCs w:val="20"/>
              </w:rPr>
              <w:t>Reported outcomes</w:t>
            </w:r>
          </w:p>
        </w:tc>
      </w:tr>
      <w:tr w:rsidR="007B4F16" w:rsidRPr="00661C99" w14:paraId="79E7586C" w14:textId="77777777" w:rsidTr="00035AB3">
        <w:tc>
          <w:tcPr>
            <w:tcW w:w="336" w:type="pct"/>
          </w:tcPr>
          <w:p w14:paraId="0455461F" w14:textId="77777777" w:rsidR="007B4F16" w:rsidRPr="00661C99" w:rsidRDefault="007B4F16" w:rsidP="007B4F16">
            <w:pPr>
              <w:pStyle w:val="Default"/>
              <w:numPr>
                <w:ilvl w:val="0"/>
                <w:numId w:val="1"/>
              </w:numPr>
              <w:spacing w:before="120" w:after="240" w:line="480" w:lineRule="auto"/>
              <w:rPr>
                <w:rFonts w:ascii="Times New Roman" w:hAnsi="Times New Roman" w:cs="Times New Roman"/>
                <w:color w:val="auto"/>
                <w:sz w:val="20"/>
                <w:szCs w:val="20"/>
              </w:rPr>
            </w:pPr>
          </w:p>
        </w:tc>
        <w:tc>
          <w:tcPr>
            <w:tcW w:w="686" w:type="pct"/>
          </w:tcPr>
          <w:p w14:paraId="566FBF2B" w14:textId="26CD13B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Australian Human Rights Commission, 2011</w:t>
            </w:r>
            <w:r w:rsidR="00741F3C">
              <w:rPr>
                <w:rFonts w:ascii="Times New Roman" w:hAnsi="Times New Roman" w:cs="Times New Roman"/>
                <w:color w:val="auto"/>
                <w:sz w:val="20"/>
                <w:szCs w:val="20"/>
              </w:rPr>
              <w:fldChar w:fldCharType="begin"/>
            </w:r>
            <w:r w:rsidR="00741F3C">
              <w:rPr>
                <w:rFonts w:ascii="Times New Roman" w:hAnsi="Times New Roman" w:cs="Times New Roman"/>
                <w:color w:val="auto"/>
                <w:sz w:val="20"/>
                <w:szCs w:val="20"/>
              </w:rPr>
              <w:instrText xml:space="preserve"> ADDIN ZOTERO_ITEM CSL_CITATION {"citationID":"wh6jRTCc","properties":{"formattedCitation":"(1)","plainCitation":"(1)","noteIndex":0},"citationItems":[{"id":2660,"uris":["http://zotero.org/users/1370043/items/2ED44YN4"],"uri":["http://zotero.org/users/1370043/items/2ED44YN4"],"itemData":{"id":2660,"type":"report","title":"Social Justice Report 2011","URL":"https://humanrights.gov.au/sites/ default/files/content/social_justice/sj_report/sjreport11/pdf/sjr2011.pdf","author":[{"literal":"Australian Human Rights Commission"}],"issued":{"date-parts":[["2011"]]}}}],"schema":"https://github.com/citation-style-language/schema/raw/master/csl-citation.json"} </w:instrText>
            </w:r>
            <w:r w:rsidR="00741F3C">
              <w:rPr>
                <w:rFonts w:ascii="Times New Roman" w:hAnsi="Times New Roman" w:cs="Times New Roman"/>
                <w:color w:val="auto"/>
                <w:sz w:val="20"/>
                <w:szCs w:val="20"/>
              </w:rPr>
              <w:fldChar w:fldCharType="separate"/>
            </w:r>
            <w:r w:rsidR="00741F3C" w:rsidRPr="00741F3C">
              <w:rPr>
                <w:rFonts w:ascii="Times New Roman" w:hAnsi="Times New Roman" w:cs="Times New Roman"/>
                <w:sz w:val="20"/>
              </w:rPr>
              <w:t>(1)</w:t>
            </w:r>
            <w:r w:rsidR="00741F3C">
              <w:rPr>
                <w:rFonts w:ascii="Times New Roman" w:hAnsi="Times New Roman" w:cs="Times New Roman"/>
                <w:color w:val="auto"/>
                <w:sz w:val="20"/>
                <w:szCs w:val="20"/>
              </w:rPr>
              <w:fldChar w:fldCharType="end"/>
            </w:r>
          </w:p>
        </w:tc>
        <w:tc>
          <w:tcPr>
            <w:tcW w:w="839" w:type="pct"/>
          </w:tcPr>
          <w:p w14:paraId="1805BF66"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 xml:space="preserve">Social Justice report regarding the </w:t>
            </w:r>
            <w:r>
              <w:rPr>
                <w:rFonts w:ascii="Times New Roman" w:hAnsi="Times New Roman" w:cs="Times New Roman"/>
                <w:color w:val="auto"/>
                <w:sz w:val="20"/>
                <w:szCs w:val="20"/>
              </w:rPr>
              <w:t>experience</w:t>
            </w:r>
            <w:r w:rsidRPr="00661C99">
              <w:rPr>
                <w:rFonts w:ascii="Times New Roman" w:hAnsi="Times New Roman" w:cs="Times New Roman"/>
                <w:color w:val="auto"/>
                <w:sz w:val="20"/>
                <w:szCs w:val="20"/>
              </w:rPr>
              <w:t xml:space="preserve"> and exercise of human rights by Aboriginal and Torres Strait Islanders</w:t>
            </w:r>
            <w:r>
              <w:rPr>
                <w:rFonts w:ascii="Times New Roman" w:hAnsi="Times New Roman" w:cs="Times New Roman"/>
                <w:color w:val="auto"/>
                <w:sz w:val="20"/>
                <w:szCs w:val="20"/>
              </w:rPr>
              <w:t>.</w:t>
            </w:r>
          </w:p>
        </w:tc>
        <w:tc>
          <w:tcPr>
            <w:tcW w:w="1505" w:type="pct"/>
          </w:tcPr>
          <w:p w14:paraId="2F8C5950"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The FWB prog</w:t>
            </w:r>
            <w:r>
              <w:rPr>
                <w:rFonts w:ascii="Times New Roman" w:hAnsi="Times New Roman" w:cs="Times New Roman"/>
                <w:color w:val="auto"/>
                <w:sz w:val="20"/>
                <w:szCs w:val="20"/>
              </w:rPr>
              <w:t>ram, as it was utilis</w:t>
            </w:r>
            <w:r w:rsidRPr="00661C99">
              <w:rPr>
                <w:rFonts w:ascii="Times New Roman" w:hAnsi="Times New Roman" w:cs="Times New Roman"/>
                <w:color w:val="auto"/>
                <w:sz w:val="20"/>
                <w:szCs w:val="20"/>
              </w:rPr>
              <w:t xml:space="preserve">ed in Yarrabah to address the high rates of suicide in their community, was highlighted as an example in how to support communities to address complex problems by drawing on holistic healing methods which blend cultural renewal and spirituality with conflict resolution and other problem-solving skills (p. 145-149). </w:t>
            </w:r>
          </w:p>
          <w:p w14:paraId="364B20D0" w14:textId="5ED467C7" w:rsidR="007B4F16" w:rsidRPr="00661C99" w:rsidRDefault="007B4F16" w:rsidP="00035AB3">
            <w:pPr>
              <w:spacing w:before="120" w:line="480" w:lineRule="auto"/>
              <w:rPr>
                <w:sz w:val="20"/>
                <w:szCs w:val="20"/>
              </w:rPr>
            </w:pPr>
            <w:r w:rsidRPr="00661C99">
              <w:rPr>
                <w:sz w:val="20"/>
                <w:szCs w:val="20"/>
                <w:lang w:val="en-US"/>
              </w:rPr>
              <w:t xml:space="preserve">The FWB research papers cited in the report included McEwan &amp; Tsey </w:t>
            </w:r>
            <w:r w:rsidR="00741F3C">
              <w:rPr>
                <w:sz w:val="20"/>
                <w:szCs w:val="20"/>
                <w:lang w:val="en-US"/>
              </w:rPr>
              <w:t xml:space="preserve">(2009) </w:t>
            </w:r>
            <w:r w:rsidR="00741F3C">
              <w:rPr>
                <w:sz w:val="20"/>
                <w:szCs w:val="20"/>
                <w:lang w:val="en-US"/>
              </w:rPr>
              <w:fldChar w:fldCharType="begin"/>
            </w:r>
            <w:r w:rsidR="00741F3C">
              <w:rPr>
                <w:sz w:val="20"/>
                <w:szCs w:val="20"/>
                <w:lang w:val="en-US"/>
              </w:rPr>
              <w:instrText xml:space="preserve"> ADDIN ZOTERO_ITEM CSL_CITATION {"citationID":"fwDW4AFX","properties":{"formattedCitation":"(2)","plainCitation":"(2)","noteIndex":0},"citationItems":[{"id":2716,"uris":["http://zotero.org/users/1370043/items/Y4VEVCC2"],"uri":["http://zotero.org/users/1370043/items/Y4VEVCC2"],"itemData":{"id":2716,"type":"report","collection-title":"Cooperative Research Centre for Aboriginal Health Discussion Paper No 7","title":"The role of spirituality in social and emotional wellbeing initiatives: The Family Wellbeing Program at Yarrabah","URL":"https://www.lowitja.org.au/page/services/resources/family-and-community-health/families/role-of-spirituality-in-social-and-emotional-wellbeing","author":[{"family":"McEwan","given":"A"},{"family":"Tsey","given":"Komla"}],"issued":{"date-parts":[["2009"]]}}}],"schema":"https://github.com/citation-style-language/schema/raw/master/csl-citation.json"} </w:instrText>
            </w:r>
            <w:r w:rsidR="00741F3C">
              <w:rPr>
                <w:sz w:val="20"/>
                <w:szCs w:val="20"/>
                <w:lang w:val="en-US"/>
              </w:rPr>
              <w:fldChar w:fldCharType="separate"/>
            </w:r>
            <w:r w:rsidR="00741F3C" w:rsidRPr="00741F3C">
              <w:rPr>
                <w:sz w:val="20"/>
              </w:rPr>
              <w:t>(2)</w:t>
            </w:r>
            <w:r w:rsidR="00741F3C">
              <w:rPr>
                <w:sz w:val="20"/>
                <w:szCs w:val="20"/>
                <w:lang w:val="en-US"/>
              </w:rPr>
              <w:fldChar w:fldCharType="end"/>
            </w:r>
            <w:r w:rsidR="00741F3C">
              <w:rPr>
                <w:sz w:val="20"/>
                <w:szCs w:val="20"/>
                <w:lang w:val="en-US"/>
              </w:rPr>
              <w:t>, Tsey et al. (2009</w:t>
            </w:r>
            <w:r w:rsidRPr="00661C99">
              <w:rPr>
                <w:sz w:val="20"/>
                <w:szCs w:val="20"/>
                <w:lang w:val="en-US"/>
              </w:rPr>
              <w:t>)</w:t>
            </w:r>
            <w:r w:rsidR="00741F3C">
              <w:rPr>
                <w:sz w:val="20"/>
                <w:szCs w:val="20"/>
                <w:lang w:val="en-US"/>
              </w:rPr>
              <w:t xml:space="preserve"> </w:t>
            </w:r>
            <w:r w:rsidR="00741F3C">
              <w:rPr>
                <w:sz w:val="20"/>
                <w:szCs w:val="20"/>
                <w:lang w:val="en-US"/>
              </w:rPr>
              <w:fldChar w:fldCharType="begin"/>
            </w:r>
            <w:r w:rsidR="004841DD">
              <w:rPr>
                <w:sz w:val="20"/>
                <w:szCs w:val="20"/>
                <w:lang w:val="en-US"/>
              </w:rPr>
              <w:instrText xml:space="preserve"> ADDIN ZOTERO_ITEM CSL_CITATION {"citationID":"NuBzuuVZ","properties":{"formattedCitation":"(3)","plainCitation":"(3)","noteIndex":0},"citationItems":[{"id":2650,"uris":["http://zotero.org/users/1370043/items/ZRBIEFIX"],"uri":["http://zotero.org/users/1370043/items/ZRBIEFIX"],"itemData":{"id":2650,"type":"article-journal","abstract":"This paper employs a thematic qualitative analysis to synthesise seven discrete formative evaluation reports of an Indigenous Australian family empowerment programme across four study settings in Australia's Northern Territory and Queensland between 1998 and 2005. The aim of the study, which involved a total of 148 adult and 70 school children participants, is to develop a deeper understanding of the contribution of community empowerment education programmes to improving Indigenous health, beyond the evidence derived from the original discrete micro evaluative studies. Within a context beset by trans-generational grief and despair resulting from colonisation and other discriminatory government policies, across the study sites, the participants demonstrated enhanced capacity to exert greater control over factors shaping their health and wellbeing. Evident in the participants' narratives was a heightened sense of Indigenous and spiritual identity, respect for self and others, enhanced parenting and capacity to deal with substance abuse and violence. Changes at the personal level influenced other individuals and systems over time, highlighting the ecological or multilevel dimensions of empowerment. The study reveals the role of psychosocial empowerment attributes as important foundational resources in helping people engage and benefit from health and other behaviour modification programmes, and take advantage of any reforms made within macro policy environments. A key limitation or challenge in the use of psychosocial empowerment programmes relates to the time and resources required to achieve change at population level. A long-term partnership approach to empowerment research that creatively integrates micro community empowerment initiatives with macro policies and programmes is vital if health gains are to be maximised.","container-title":"Health &amp; Social Care in the Community","DOI":"10.1111/j.1365-2524.2009.00885.x","ISSN":"1365-2524","issue":"2","journalAbbreviation":"Health Soc Care Community","language":"eng","note":"PMID: 19804554","page":"169-179","source":"PubMed","title":"Empowerment and Indigenous Australian health: A synthesis of findings from Family Wellbeing formative research","title-short":"Empowerment and Indigenous Australian health","volume":"18","author":[{"family":"Tsey","given":"Komla"},{"family":"Whiteside","given":"Mary"},{"family":"Haswell-Elkins","given":"Melissa"},{"family":"Bainbridge","given":"Roxanne"},{"family":"Cadet-James","given":"Yvonne"},{"family":"Wilson","given":"Andrew"}],"issued":{"date-parts":[["2009"]]}}}],"schema":"https://github.com/citation-style-language/schema/raw/master/csl-citation.json"} </w:instrText>
            </w:r>
            <w:r w:rsidR="00741F3C">
              <w:rPr>
                <w:sz w:val="20"/>
                <w:szCs w:val="20"/>
                <w:lang w:val="en-US"/>
              </w:rPr>
              <w:fldChar w:fldCharType="separate"/>
            </w:r>
            <w:r w:rsidR="00741F3C" w:rsidRPr="00741F3C">
              <w:rPr>
                <w:sz w:val="20"/>
              </w:rPr>
              <w:t>(3)</w:t>
            </w:r>
            <w:r w:rsidR="00741F3C">
              <w:rPr>
                <w:sz w:val="20"/>
                <w:szCs w:val="20"/>
                <w:lang w:val="en-US"/>
              </w:rPr>
              <w:fldChar w:fldCharType="end"/>
            </w:r>
            <w:r w:rsidRPr="00661C99">
              <w:rPr>
                <w:sz w:val="20"/>
                <w:szCs w:val="20"/>
                <w:lang w:val="en-US"/>
              </w:rPr>
              <w:t>, Tsey et al. (2003)</w:t>
            </w:r>
            <w:r w:rsidR="00741F3C">
              <w:rPr>
                <w:sz w:val="20"/>
                <w:szCs w:val="20"/>
                <w:lang w:val="en-US"/>
              </w:rPr>
              <w:t xml:space="preserve"> </w:t>
            </w:r>
            <w:r w:rsidR="00741F3C">
              <w:rPr>
                <w:sz w:val="20"/>
                <w:szCs w:val="20"/>
                <w:lang w:val="en-US"/>
              </w:rPr>
              <w:fldChar w:fldCharType="begin"/>
            </w:r>
            <w:r w:rsidR="00741F3C">
              <w:rPr>
                <w:sz w:val="20"/>
                <w:szCs w:val="20"/>
                <w:lang w:val="en-US"/>
              </w:rPr>
              <w:instrText xml:space="preserve"> ADDIN ZOTERO_ITEM CSL_CITATION {"citationID":"tIfFbpyi","properties":{"formattedCitation":"(4)","plainCitation":"(4)","noteIndex":0},"citationItems":[{"id":2641,"uris":["http://zotero.org/users/1370043/items/3YS5QKK6"],"uri":["http://zotero.org/users/1370043/items/3YS5QKK6"],"itemData":{"id":2641,"type":"article-journal","abstract":"Objective: To explore links between the social determinants of health, the ?control factor?, and an Aboriginal empowerment program.Methods: The evidence that rank or social status is one of the most important determinants of health is briefly presented. This is followed by a critique of the Australian policy and intervention framework for tackling and reducing social inequalities. The concept of ?control? as an important element in addressing social determinants of health is examined next and the Family Wellbeing empowerment program is analysed to illustrate how the concept of control might be operationalised at program or intervention level. Implications for health practitioners are identified.Results: By providing a safe group environment for participants to explore sets of critical questions about themselves, their families and communities, through the process of participatory action research, Family Wellbeing has demonstrated its potential to ?enable? Indigenous people to take greater control and responsibility for their situation. While program participants first address personal and immediate family issues, evidence is emerging of a ripple effect of increasing harmony and capacity to address issues within the wider communityConclusions: The social determinants of health are complex and multi-layered and so addressing them needs to involve multilevel thinking and action. The control factor is only one element, albeit an important one, and Family Wellbeing is providing evidence that ?control? can be addressed in Indigenous settings. For empowerment programs to achieve their full potential, however, there is a need to ensure that such programs reach a critical mass of the target group. It is also imperative that policy-makers and practitioners take a longer-term approach, including properly resourced longitudinal studies to document and enhance the evidence base for such interventions. As health practitioners it is vital we consider our work within this broader context, creatively seek to enhance linkages between services and programs, and support processes for change or intervention at other levels.","container-title":"Australasian Psychiatry","DOI":"10.1046/j.1038-5282.2003.02017.x","ISSN":"1039-8562","issue":"1_suppl","journalAbbreviation":"Australas Psychiatry","note":"publisher: SAGE Publications Ltd","page":"S34-S39","title":"Social Determinants of Health, the ‘Control Factor’ and the Family Wellbeing Empowerment Program","volume":"11","author":[{"family":"Tsey","given":"Komla"},{"family":"Whiteside","given":"Mary"},{"family":"Deemal","given":"Audrey"},{"family":"Gibson","given":"Teresa"}],"issued":{"date-parts":[["2003",10,1]]}}}],"schema":"https://github.com/citation-style-language/schema/raw/master/csl-citation.json"} </w:instrText>
            </w:r>
            <w:r w:rsidR="00741F3C">
              <w:rPr>
                <w:sz w:val="20"/>
                <w:szCs w:val="20"/>
                <w:lang w:val="en-US"/>
              </w:rPr>
              <w:fldChar w:fldCharType="separate"/>
            </w:r>
            <w:r w:rsidR="00741F3C" w:rsidRPr="00741F3C">
              <w:rPr>
                <w:sz w:val="20"/>
              </w:rPr>
              <w:t>(4)</w:t>
            </w:r>
            <w:r w:rsidR="00741F3C">
              <w:rPr>
                <w:sz w:val="20"/>
                <w:szCs w:val="20"/>
                <w:lang w:val="en-US"/>
              </w:rPr>
              <w:fldChar w:fldCharType="end"/>
            </w:r>
            <w:r w:rsidRPr="00661C99">
              <w:rPr>
                <w:sz w:val="20"/>
                <w:szCs w:val="20"/>
                <w:lang w:val="en-US"/>
              </w:rPr>
              <w:t>, and Whiteside et al. (2006)</w:t>
            </w:r>
            <w:r w:rsidR="00741F3C">
              <w:rPr>
                <w:sz w:val="20"/>
                <w:szCs w:val="20"/>
                <w:lang w:val="en-US"/>
              </w:rPr>
              <w:t xml:space="preserve"> </w:t>
            </w:r>
            <w:r w:rsidR="00741F3C">
              <w:rPr>
                <w:sz w:val="20"/>
                <w:szCs w:val="20"/>
                <w:lang w:val="en-US"/>
              </w:rPr>
              <w:fldChar w:fldCharType="begin"/>
            </w:r>
            <w:r w:rsidR="004841DD">
              <w:rPr>
                <w:sz w:val="20"/>
                <w:szCs w:val="20"/>
                <w:lang w:val="en-US"/>
              </w:rPr>
              <w:instrText xml:space="preserve"> ADDIN ZOTERO_ITEM CSL_CITATION {"citationID":"IIaHFKtZ","properties":{"formattedCitation":"(5)","plainCitation":"(5)","noteIndex":0},"citationItems":[{"id":2719,"uris":["http://zotero.org/users/1370043/items/FLWYCAH2"],"uri":["http://zotero.org/users/1370043/items/FLWYCAH2"],"itemData":{"id":2719,"type":"article-journal","container-title":"Australian Social Work","DOI":"10.1080/03124070600985996","ISSN":"0312-407X","issue":"4","journalAbbreviation":"null","note":"publisher: Routledge","page":"422-434","title":"Empowerment as a framework for Indigenous workforce development and rrganisational change","volume":"59","author":[{"family":"Whiteside","given":"Mary"},{"family":"Tsey","given":"Komla"},{"family":"McCalman","given":"Janya"},{"family":"Cadet-James","given":"Yvonne"},{"family":"Wilson","given":"Andrew"}],"issued":{"date-parts":[["2006",12,1]]}}}],"schema":"https://github.com/citation-style-language/schema/raw/master/csl-citation.json"} </w:instrText>
            </w:r>
            <w:r w:rsidR="00741F3C">
              <w:rPr>
                <w:sz w:val="20"/>
                <w:szCs w:val="20"/>
                <w:lang w:val="en-US"/>
              </w:rPr>
              <w:fldChar w:fldCharType="separate"/>
            </w:r>
            <w:r w:rsidR="00741F3C" w:rsidRPr="00741F3C">
              <w:rPr>
                <w:sz w:val="20"/>
              </w:rPr>
              <w:t>(5)</w:t>
            </w:r>
            <w:r w:rsidR="00741F3C">
              <w:rPr>
                <w:sz w:val="20"/>
                <w:szCs w:val="20"/>
                <w:lang w:val="en-US"/>
              </w:rPr>
              <w:fldChar w:fldCharType="end"/>
            </w:r>
            <w:r w:rsidRPr="00661C99">
              <w:rPr>
                <w:sz w:val="20"/>
                <w:szCs w:val="20"/>
                <w:lang w:val="en-US"/>
              </w:rPr>
              <w:t>.</w:t>
            </w:r>
          </w:p>
        </w:tc>
        <w:tc>
          <w:tcPr>
            <w:tcW w:w="1635" w:type="pct"/>
          </w:tcPr>
          <w:p w14:paraId="7B36A1BA"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National recognition of FWB through research gave the program credibility in the eyes of potential user organisations</w:t>
            </w:r>
            <w:r>
              <w:rPr>
                <w:rFonts w:ascii="Times New Roman" w:hAnsi="Times New Roman" w:cs="Times New Roman"/>
                <w:color w:val="auto"/>
                <w:sz w:val="20"/>
                <w:szCs w:val="20"/>
              </w:rPr>
              <w:t>.</w:t>
            </w:r>
          </w:p>
        </w:tc>
      </w:tr>
      <w:tr w:rsidR="007B4F16" w:rsidRPr="00661C99" w14:paraId="1A79B92C" w14:textId="77777777" w:rsidTr="00035AB3">
        <w:tc>
          <w:tcPr>
            <w:tcW w:w="336" w:type="pct"/>
          </w:tcPr>
          <w:p w14:paraId="3B38312E" w14:textId="77777777" w:rsidR="007B4F16" w:rsidRPr="00661C99" w:rsidRDefault="007B4F16" w:rsidP="007B4F16">
            <w:pPr>
              <w:pStyle w:val="Default"/>
              <w:numPr>
                <w:ilvl w:val="0"/>
                <w:numId w:val="1"/>
              </w:numPr>
              <w:spacing w:before="120" w:after="240" w:line="480" w:lineRule="auto"/>
              <w:rPr>
                <w:rFonts w:ascii="Times New Roman" w:hAnsi="Times New Roman" w:cs="Times New Roman"/>
                <w:color w:val="auto"/>
                <w:sz w:val="20"/>
                <w:szCs w:val="20"/>
              </w:rPr>
            </w:pPr>
          </w:p>
        </w:tc>
        <w:tc>
          <w:tcPr>
            <w:tcW w:w="686" w:type="pct"/>
          </w:tcPr>
          <w:p w14:paraId="75C3749E" w14:textId="23F0A47B"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Baird, 2019</w:t>
            </w:r>
            <w:r w:rsidR="00B217FA">
              <w:rPr>
                <w:rFonts w:ascii="Times New Roman" w:hAnsi="Times New Roman" w:cs="Times New Roman"/>
                <w:color w:val="auto"/>
                <w:sz w:val="20"/>
                <w:szCs w:val="20"/>
              </w:rPr>
              <w:t xml:space="preserve"> </w:t>
            </w:r>
            <w:r w:rsidR="00B217FA">
              <w:rPr>
                <w:rFonts w:ascii="Times New Roman" w:hAnsi="Times New Roman" w:cs="Times New Roman"/>
                <w:color w:val="auto"/>
                <w:sz w:val="20"/>
                <w:szCs w:val="20"/>
              </w:rPr>
              <w:fldChar w:fldCharType="begin"/>
            </w:r>
            <w:r w:rsidR="00B217FA">
              <w:rPr>
                <w:rFonts w:ascii="Times New Roman" w:hAnsi="Times New Roman" w:cs="Times New Roman"/>
                <w:color w:val="auto"/>
                <w:sz w:val="20"/>
                <w:szCs w:val="20"/>
              </w:rPr>
              <w:instrText xml:space="preserve"> ADDIN ZOTERO_ITEM CSL_CITATION {"citationID":"nihhyUIT","properties":{"formattedCitation":"(6)","plainCitation":"(6)","noteIndex":0},"citationItems":[{"id":1049,"uris":["http://zotero.org/users/1370043/items/YKCKEECF"],"uri":["http://zotero.org/users/1370043/items/YKCKEECF"],"itemData":{"id":1049,"type":"article-magazine","container-title":"Overland","title":"The solution to Indigenous suicide crises lies in listening to Aboriginal people","URL":"https://overland.org.au/2019/06/the-solution-to-indigenous-suicide-crises-lies-in-listening-to-aboriginal-people/","author":[{"family":"Baird","given":"Les"}],"accessed":{"date-parts":[["2020",5,11]]},"issued":{"date-parts":[["2019",6,24]]}}}],"schema":"https://github.com/citation-style-language/schema/raw/master/csl-citation.json"} </w:instrText>
            </w:r>
            <w:r w:rsidR="00B217FA">
              <w:rPr>
                <w:rFonts w:ascii="Times New Roman" w:hAnsi="Times New Roman" w:cs="Times New Roman"/>
                <w:color w:val="auto"/>
                <w:sz w:val="20"/>
                <w:szCs w:val="20"/>
              </w:rPr>
              <w:fldChar w:fldCharType="separate"/>
            </w:r>
            <w:r w:rsidR="00B217FA" w:rsidRPr="00B217FA">
              <w:rPr>
                <w:rFonts w:ascii="Times New Roman" w:hAnsi="Times New Roman" w:cs="Times New Roman"/>
                <w:sz w:val="20"/>
              </w:rPr>
              <w:t>(6)</w:t>
            </w:r>
            <w:r w:rsidR="00B217FA">
              <w:rPr>
                <w:rFonts w:ascii="Times New Roman" w:hAnsi="Times New Roman" w:cs="Times New Roman"/>
                <w:color w:val="auto"/>
                <w:sz w:val="20"/>
                <w:szCs w:val="20"/>
              </w:rPr>
              <w:fldChar w:fldCharType="end"/>
            </w:r>
          </w:p>
        </w:tc>
        <w:tc>
          <w:tcPr>
            <w:tcW w:w="839" w:type="pct"/>
          </w:tcPr>
          <w:p w14:paraId="665DD977"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 xml:space="preserve">A personal account of a former CEO of a new </w:t>
            </w:r>
            <w:r w:rsidRPr="00661C99">
              <w:rPr>
                <w:rFonts w:ascii="Times New Roman" w:hAnsi="Times New Roman" w:cs="Times New Roman"/>
                <w:color w:val="auto"/>
                <w:sz w:val="20"/>
                <w:szCs w:val="20"/>
              </w:rPr>
              <w:lastRenderedPageBreak/>
              <w:t xml:space="preserve">Indigenous community health service in Yarrabah who invited FWB researchers to help introduce the program into the community </w:t>
            </w:r>
          </w:p>
          <w:p w14:paraId="396CA50A"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 xml:space="preserve"> </w:t>
            </w:r>
          </w:p>
        </w:tc>
        <w:tc>
          <w:tcPr>
            <w:tcW w:w="1505" w:type="pct"/>
          </w:tcPr>
          <w:p w14:paraId="18043F4F"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lastRenderedPageBreak/>
              <w:t xml:space="preserve">Father Les Baird reached out to Komla Tsey in 2000 to find out more about his research and </w:t>
            </w:r>
            <w:r w:rsidRPr="00661C99">
              <w:rPr>
                <w:rFonts w:ascii="Times New Roman" w:hAnsi="Times New Roman" w:cs="Times New Roman"/>
                <w:color w:val="auto"/>
                <w:sz w:val="20"/>
                <w:szCs w:val="20"/>
              </w:rPr>
              <w:lastRenderedPageBreak/>
              <w:t>discuss a possible collaboration between the university and Yarrabah to address the high suicide rates in the community. After initial consultation it was agreed upon developing a social, emotional and spiritual health program that complemented Queensland Health’s medical services in the community, which was later transformed into a community-controlled comprehensive primary health care service. At the start of the research collaboratio</w:t>
            </w:r>
            <w:r>
              <w:rPr>
                <w:rFonts w:ascii="Times New Roman" w:hAnsi="Times New Roman" w:cs="Times New Roman"/>
                <w:color w:val="auto"/>
                <w:sz w:val="20"/>
                <w:szCs w:val="20"/>
              </w:rPr>
              <w:t>n, the health service had only three</w:t>
            </w:r>
            <w:r w:rsidRPr="00661C99">
              <w:rPr>
                <w:rFonts w:ascii="Times New Roman" w:hAnsi="Times New Roman" w:cs="Times New Roman"/>
                <w:color w:val="auto"/>
                <w:sz w:val="20"/>
                <w:szCs w:val="20"/>
              </w:rPr>
              <w:t xml:space="preserve"> employees (the CEO included) and provided no services. FWB and other research grants allowed the n</w:t>
            </w:r>
            <w:r>
              <w:rPr>
                <w:rFonts w:ascii="Times New Roman" w:hAnsi="Times New Roman" w:cs="Times New Roman"/>
                <w:color w:val="auto"/>
                <w:sz w:val="20"/>
                <w:szCs w:val="20"/>
              </w:rPr>
              <w:t>ew service to employ and train four</w:t>
            </w:r>
            <w:r w:rsidRPr="00661C99">
              <w:rPr>
                <w:rFonts w:ascii="Times New Roman" w:hAnsi="Times New Roman" w:cs="Times New Roman"/>
                <w:color w:val="auto"/>
                <w:sz w:val="20"/>
                <w:szCs w:val="20"/>
              </w:rPr>
              <w:t xml:space="preserve"> community-based researchers (2 male and 2 female) </w:t>
            </w:r>
            <w:r>
              <w:rPr>
                <w:rFonts w:ascii="Times New Roman" w:hAnsi="Times New Roman" w:cs="Times New Roman"/>
                <w:color w:val="auto"/>
                <w:sz w:val="20"/>
                <w:szCs w:val="20"/>
              </w:rPr>
              <w:t xml:space="preserve">to </w:t>
            </w:r>
            <w:r w:rsidRPr="00661C99">
              <w:rPr>
                <w:rFonts w:ascii="Times New Roman" w:hAnsi="Times New Roman" w:cs="Times New Roman"/>
                <w:color w:val="auto"/>
                <w:sz w:val="20"/>
                <w:szCs w:val="20"/>
              </w:rPr>
              <w:t xml:space="preserve">help pilot FWB with a range of community groups. In response to the positive outcomes, the Department of Health and Human Services </w:t>
            </w:r>
            <w:r w:rsidRPr="00661C99">
              <w:rPr>
                <w:rFonts w:ascii="Times New Roman" w:hAnsi="Times New Roman" w:cs="Times New Roman"/>
                <w:color w:val="auto"/>
                <w:sz w:val="20"/>
                <w:szCs w:val="20"/>
              </w:rPr>
              <w:lastRenderedPageBreak/>
              <w:t xml:space="preserve">(DOHA) provided permanent funding for the </w:t>
            </w:r>
            <w:r>
              <w:rPr>
                <w:rFonts w:ascii="Times New Roman" w:hAnsi="Times New Roman" w:cs="Times New Roman"/>
                <w:color w:val="auto"/>
                <w:sz w:val="20"/>
                <w:szCs w:val="20"/>
              </w:rPr>
              <w:t>four</w:t>
            </w:r>
            <w:r w:rsidRPr="00661C99">
              <w:rPr>
                <w:rFonts w:ascii="Times New Roman" w:hAnsi="Times New Roman" w:cs="Times New Roman"/>
                <w:color w:val="auto"/>
                <w:sz w:val="20"/>
                <w:szCs w:val="20"/>
              </w:rPr>
              <w:t xml:space="preserve"> positions, now designated as Men and Women Health Workers. Today, the service employs just over 100 staff, 80% from the local community. P</w:t>
            </w:r>
            <w:r>
              <w:rPr>
                <w:rFonts w:ascii="Times New Roman" w:hAnsi="Times New Roman" w:cs="Times New Roman"/>
                <w:color w:val="auto"/>
                <w:sz w:val="20"/>
                <w:szCs w:val="20"/>
              </w:rPr>
              <w:t xml:space="preserve">articipatory </w:t>
            </w:r>
            <w:r w:rsidRPr="00661C99">
              <w:rPr>
                <w:rFonts w:ascii="Times New Roman" w:hAnsi="Times New Roman" w:cs="Times New Roman"/>
                <w:color w:val="auto"/>
                <w:sz w:val="20"/>
                <w:szCs w:val="20"/>
              </w:rPr>
              <w:t>A</w:t>
            </w:r>
            <w:r>
              <w:rPr>
                <w:rFonts w:ascii="Times New Roman" w:hAnsi="Times New Roman" w:cs="Times New Roman"/>
                <w:color w:val="auto"/>
                <w:sz w:val="20"/>
                <w:szCs w:val="20"/>
              </w:rPr>
              <w:t xml:space="preserve">ction </w:t>
            </w:r>
            <w:r w:rsidRPr="00661C99">
              <w:rPr>
                <w:rFonts w:ascii="Times New Roman" w:hAnsi="Times New Roman" w:cs="Times New Roman"/>
                <w:color w:val="auto"/>
                <w:sz w:val="20"/>
                <w:szCs w:val="20"/>
              </w:rPr>
              <w:t>R</w:t>
            </w:r>
            <w:r>
              <w:rPr>
                <w:rFonts w:ascii="Times New Roman" w:hAnsi="Times New Roman" w:cs="Times New Roman"/>
                <w:color w:val="auto"/>
                <w:sz w:val="20"/>
                <w:szCs w:val="20"/>
              </w:rPr>
              <w:t>esearch</w:t>
            </w:r>
            <w:r w:rsidRPr="00661C99">
              <w:rPr>
                <w:rFonts w:ascii="Times New Roman" w:hAnsi="Times New Roman" w:cs="Times New Roman"/>
                <w:color w:val="auto"/>
                <w:sz w:val="20"/>
                <w:szCs w:val="20"/>
              </w:rPr>
              <w:t xml:space="preserve"> processes empowered community members as they were actively involved in the research concerning their community, as opposed to</w:t>
            </w:r>
            <w:r>
              <w:rPr>
                <w:rFonts w:ascii="Times New Roman" w:hAnsi="Times New Roman" w:cs="Times New Roman"/>
                <w:color w:val="auto"/>
                <w:sz w:val="20"/>
                <w:szCs w:val="20"/>
              </w:rPr>
              <w:t xml:space="preserve"> being researched by outsiders.</w:t>
            </w:r>
          </w:p>
        </w:tc>
        <w:tc>
          <w:tcPr>
            <w:tcW w:w="1635" w:type="pct"/>
          </w:tcPr>
          <w:p w14:paraId="75FD88E5"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lastRenderedPageBreak/>
              <w:t xml:space="preserve">Improved </w:t>
            </w:r>
            <w:r>
              <w:rPr>
                <w:rFonts w:ascii="Times New Roman" w:hAnsi="Times New Roman" w:cs="Times New Roman"/>
                <w:color w:val="auto"/>
                <w:sz w:val="20"/>
                <w:szCs w:val="20"/>
              </w:rPr>
              <w:t xml:space="preserve">SEWB </w:t>
            </w:r>
            <w:r w:rsidRPr="00661C99">
              <w:rPr>
                <w:rFonts w:ascii="Times New Roman" w:hAnsi="Times New Roman" w:cs="Times New Roman"/>
                <w:color w:val="auto"/>
                <w:sz w:val="20"/>
                <w:szCs w:val="20"/>
              </w:rPr>
              <w:t xml:space="preserve">among a variety of workers and community members who participated in the FWB </w:t>
            </w:r>
            <w:r w:rsidRPr="00661C99">
              <w:rPr>
                <w:rFonts w:ascii="Times New Roman" w:hAnsi="Times New Roman" w:cs="Times New Roman"/>
                <w:color w:val="auto"/>
                <w:sz w:val="20"/>
                <w:szCs w:val="20"/>
              </w:rPr>
              <w:lastRenderedPageBreak/>
              <w:t>workshops; certification of FWB facilitators (from the community) to deliv</w:t>
            </w:r>
            <w:r>
              <w:rPr>
                <w:rFonts w:ascii="Times New Roman" w:hAnsi="Times New Roman" w:cs="Times New Roman"/>
                <w:color w:val="auto"/>
                <w:sz w:val="20"/>
                <w:szCs w:val="20"/>
              </w:rPr>
              <w:t>er the program to a variety of c</w:t>
            </w:r>
            <w:r w:rsidRPr="00661C99">
              <w:rPr>
                <w:rFonts w:ascii="Times New Roman" w:hAnsi="Times New Roman" w:cs="Times New Roman"/>
                <w:color w:val="auto"/>
                <w:sz w:val="20"/>
                <w:szCs w:val="20"/>
              </w:rPr>
              <w:t xml:space="preserve">ommunity groups; a national suicide prevention grant awarded to Yarrabah community to </w:t>
            </w:r>
            <w:r>
              <w:rPr>
                <w:rFonts w:ascii="Times New Roman" w:hAnsi="Times New Roman" w:cs="Times New Roman"/>
                <w:color w:val="auto"/>
                <w:sz w:val="20"/>
                <w:szCs w:val="20"/>
              </w:rPr>
              <w:t xml:space="preserve">share </w:t>
            </w:r>
            <w:r w:rsidRPr="00661C99">
              <w:rPr>
                <w:rFonts w:ascii="Times New Roman" w:hAnsi="Times New Roman" w:cs="Times New Roman"/>
                <w:color w:val="auto"/>
                <w:sz w:val="20"/>
                <w:szCs w:val="20"/>
              </w:rPr>
              <w:t xml:space="preserve">its FWB and Men’s Group experience with three other Indigenous communities in Queensland </w:t>
            </w:r>
            <w:r>
              <w:rPr>
                <w:rFonts w:ascii="Times New Roman" w:hAnsi="Times New Roman" w:cs="Times New Roman"/>
                <w:color w:val="auto"/>
                <w:sz w:val="20"/>
                <w:szCs w:val="20"/>
              </w:rPr>
              <w:t>who were facing</w:t>
            </w:r>
            <w:r w:rsidRPr="00661C99">
              <w:rPr>
                <w:rFonts w:ascii="Times New Roman" w:hAnsi="Times New Roman" w:cs="Times New Roman"/>
                <w:color w:val="auto"/>
                <w:sz w:val="20"/>
                <w:szCs w:val="20"/>
              </w:rPr>
              <w:t xml:space="preserve"> issues relating to suicide; empowered the community</w:t>
            </w:r>
            <w:r>
              <w:rPr>
                <w:rFonts w:ascii="Times New Roman" w:hAnsi="Times New Roman" w:cs="Times New Roman"/>
                <w:color w:val="auto"/>
                <w:sz w:val="20"/>
                <w:szCs w:val="20"/>
              </w:rPr>
              <w:t xml:space="preserve"> to</w:t>
            </w:r>
            <w:r w:rsidRPr="00661C99">
              <w:rPr>
                <w:rFonts w:ascii="Times New Roman" w:hAnsi="Times New Roman" w:cs="Times New Roman"/>
                <w:color w:val="auto"/>
                <w:sz w:val="20"/>
                <w:szCs w:val="20"/>
              </w:rPr>
              <w:t xml:space="preserve"> build their own health service including taking over </w:t>
            </w:r>
            <w:r>
              <w:rPr>
                <w:rFonts w:ascii="Times New Roman" w:hAnsi="Times New Roman" w:cs="Times New Roman"/>
                <w:color w:val="auto"/>
                <w:sz w:val="20"/>
                <w:szCs w:val="20"/>
              </w:rPr>
              <w:t>QLD</w:t>
            </w:r>
            <w:r w:rsidRPr="00661C99">
              <w:rPr>
                <w:rFonts w:ascii="Times New Roman" w:hAnsi="Times New Roman" w:cs="Times New Roman"/>
                <w:color w:val="auto"/>
                <w:sz w:val="20"/>
                <w:szCs w:val="20"/>
              </w:rPr>
              <w:t xml:space="preserve"> Health medical services as part of comprehensive primary health care  </w:t>
            </w:r>
          </w:p>
        </w:tc>
      </w:tr>
      <w:tr w:rsidR="007B4F16" w:rsidRPr="00661C99" w14:paraId="273F7504" w14:textId="77777777" w:rsidTr="00035AB3">
        <w:tc>
          <w:tcPr>
            <w:tcW w:w="336" w:type="pct"/>
          </w:tcPr>
          <w:p w14:paraId="4AC189C0" w14:textId="77777777" w:rsidR="007B4F16" w:rsidRPr="00661C99" w:rsidRDefault="007B4F16" w:rsidP="007B4F16">
            <w:pPr>
              <w:pStyle w:val="Default"/>
              <w:numPr>
                <w:ilvl w:val="0"/>
                <w:numId w:val="1"/>
              </w:numPr>
              <w:spacing w:before="120" w:after="240" w:line="480" w:lineRule="auto"/>
              <w:rPr>
                <w:rFonts w:ascii="Times New Roman" w:hAnsi="Times New Roman" w:cs="Times New Roman"/>
                <w:color w:val="auto"/>
                <w:sz w:val="20"/>
                <w:szCs w:val="20"/>
              </w:rPr>
            </w:pPr>
          </w:p>
        </w:tc>
        <w:tc>
          <w:tcPr>
            <w:tcW w:w="686" w:type="pct"/>
          </w:tcPr>
          <w:p w14:paraId="7DCE7080" w14:textId="2291BF0E"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 xml:space="preserve">Moylan and Drew, 2017 </w:t>
            </w:r>
            <w:r w:rsidR="00B217FA">
              <w:rPr>
                <w:rFonts w:ascii="Times New Roman" w:hAnsi="Times New Roman" w:cs="Times New Roman"/>
                <w:color w:val="auto"/>
                <w:sz w:val="20"/>
                <w:szCs w:val="20"/>
              </w:rPr>
              <w:fldChar w:fldCharType="begin"/>
            </w:r>
            <w:r w:rsidR="00B217FA">
              <w:rPr>
                <w:rFonts w:ascii="Times New Roman" w:hAnsi="Times New Roman" w:cs="Times New Roman"/>
                <w:color w:val="auto"/>
                <w:sz w:val="20"/>
                <w:szCs w:val="20"/>
              </w:rPr>
              <w:instrText xml:space="preserve"> ADDIN ZOTERO_ITEM CSL_CITATION {"citationID":"KIBr9iQI","properties":{"formattedCitation":"(7)","plainCitation":"(7)","noteIndex":0},"citationItems":[{"id":2659,"uris":["http://zotero.org/users/1370043/items/7H39PMG9"],"uri":["http://zotero.org/users/1370043/items/7H39PMG9"],"itemData":{"id":2659,"type":"article-magazine","container-title":"Family Wellbeing newsletter","issue":"3","title":"It’s not about reinventing the wheel, it’s about making the wheel turn","URL":"https://www.cairnsinstitute.jcu.edu.au/fwb-newsletter/","author":[{"family":"Moylan","given":"R"},{"family":"Drew","given":"V"}],"issued":{"date-parts":[["2017"]]}}}],"schema":"https://github.com/citation-style-language/schema/raw/master/csl-citation.json"} </w:instrText>
            </w:r>
            <w:r w:rsidR="00B217FA">
              <w:rPr>
                <w:rFonts w:ascii="Times New Roman" w:hAnsi="Times New Roman" w:cs="Times New Roman"/>
                <w:color w:val="auto"/>
                <w:sz w:val="20"/>
                <w:szCs w:val="20"/>
              </w:rPr>
              <w:fldChar w:fldCharType="separate"/>
            </w:r>
            <w:r w:rsidR="00B217FA" w:rsidRPr="00B217FA">
              <w:rPr>
                <w:rFonts w:ascii="Times New Roman" w:hAnsi="Times New Roman" w:cs="Times New Roman"/>
                <w:sz w:val="20"/>
              </w:rPr>
              <w:t>(7)</w:t>
            </w:r>
            <w:r w:rsidR="00B217FA">
              <w:rPr>
                <w:rFonts w:ascii="Times New Roman" w:hAnsi="Times New Roman" w:cs="Times New Roman"/>
                <w:color w:val="auto"/>
                <w:sz w:val="20"/>
                <w:szCs w:val="20"/>
              </w:rPr>
              <w:fldChar w:fldCharType="end"/>
            </w:r>
          </w:p>
          <w:p w14:paraId="73BED1F6"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p>
          <w:p w14:paraId="7A89C71F"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p>
        </w:tc>
        <w:tc>
          <w:tcPr>
            <w:tcW w:w="839" w:type="pct"/>
          </w:tcPr>
          <w:p w14:paraId="12A8DABD"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Newsletter story by Act for Kids, a child abuse prevention service, reflecting on the role FWB research played in the uptake and integration of the program into their services</w:t>
            </w:r>
            <w:r>
              <w:rPr>
                <w:rFonts w:ascii="Times New Roman" w:hAnsi="Times New Roman" w:cs="Times New Roman"/>
                <w:color w:val="auto"/>
                <w:sz w:val="20"/>
                <w:szCs w:val="20"/>
              </w:rPr>
              <w:t>.</w:t>
            </w:r>
            <w:r w:rsidRPr="00661C99">
              <w:rPr>
                <w:rFonts w:ascii="Times New Roman" w:hAnsi="Times New Roman" w:cs="Times New Roman"/>
                <w:color w:val="auto"/>
                <w:sz w:val="20"/>
                <w:szCs w:val="20"/>
              </w:rPr>
              <w:t xml:space="preserve"> </w:t>
            </w:r>
          </w:p>
        </w:tc>
        <w:tc>
          <w:tcPr>
            <w:tcW w:w="1505" w:type="pct"/>
          </w:tcPr>
          <w:p w14:paraId="72DC3C7B" w14:textId="44FE2B77" w:rsidR="007B4F16" w:rsidRPr="00661C99" w:rsidRDefault="007B4F16" w:rsidP="00B217FA">
            <w:pPr>
              <w:pStyle w:val="Default"/>
              <w:spacing w:before="120" w:after="240" w:line="480" w:lineRule="auto"/>
              <w:rPr>
                <w:rFonts w:ascii="Times New Roman" w:hAnsi="Times New Roman" w:cs="Times New Roman"/>
                <w:sz w:val="20"/>
                <w:szCs w:val="20"/>
                <w:lang w:val="en-AU"/>
              </w:rPr>
            </w:pPr>
            <w:r w:rsidRPr="00661C99">
              <w:rPr>
                <w:rFonts w:ascii="Times New Roman" w:hAnsi="Times New Roman" w:cs="Times New Roman"/>
                <w:color w:val="auto"/>
                <w:sz w:val="20"/>
                <w:szCs w:val="20"/>
              </w:rPr>
              <w:t xml:space="preserve">In response to Act for Kids-JCU FWB pilot training, the Act for Kids cultural mentor and the training coordinator prepared a presentation to convince the senior management team about the benefits of the FWB program and how it could assist their staff and the families with whom they work. </w:t>
            </w:r>
            <w:r w:rsidRPr="00661C99">
              <w:rPr>
                <w:rFonts w:ascii="Times New Roman" w:hAnsi="Times New Roman" w:cs="Times New Roman"/>
                <w:sz w:val="20"/>
                <w:szCs w:val="20"/>
              </w:rPr>
              <w:t xml:space="preserve">Not knowing how mainstream clinicians in the senior management team would perceive the </w:t>
            </w:r>
            <w:r w:rsidRPr="00661C99">
              <w:rPr>
                <w:rFonts w:ascii="Times New Roman" w:hAnsi="Times New Roman" w:cs="Times New Roman"/>
                <w:sz w:val="20"/>
                <w:szCs w:val="20"/>
              </w:rPr>
              <w:lastRenderedPageBreak/>
              <w:t>FWB program, they decided to ‘rely heavily’ on 1</w:t>
            </w:r>
            <w:r>
              <w:rPr>
                <w:rFonts w:ascii="Times New Roman" w:hAnsi="Times New Roman" w:cs="Times New Roman"/>
                <w:sz w:val="20"/>
                <w:szCs w:val="20"/>
              </w:rPr>
              <w:t>0 years of FWB research summaris</w:t>
            </w:r>
            <w:r w:rsidRPr="00661C99">
              <w:rPr>
                <w:rFonts w:ascii="Times New Roman" w:hAnsi="Times New Roman" w:cs="Times New Roman"/>
                <w:sz w:val="20"/>
                <w:szCs w:val="20"/>
              </w:rPr>
              <w:t xml:space="preserve">ed in the form of </w:t>
            </w:r>
            <w:r>
              <w:rPr>
                <w:rFonts w:ascii="Times New Roman" w:hAnsi="Times New Roman" w:cs="Times New Roman"/>
                <w:sz w:val="20"/>
                <w:szCs w:val="20"/>
              </w:rPr>
              <w:t xml:space="preserve">a </w:t>
            </w:r>
            <w:r w:rsidR="00B217FA">
              <w:rPr>
                <w:rFonts w:ascii="Times New Roman" w:hAnsi="Times New Roman" w:cs="Times New Roman"/>
                <w:sz w:val="20"/>
                <w:szCs w:val="20"/>
              </w:rPr>
              <w:t xml:space="preserve">Lowitja Institute </w:t>
            </w:r>
            <w:r w:rsidRPr="00661C99">
              <w:rPr>
                <w:rFonts w:ascii="Times New Roman" w:hAnsi="Times New Roman" w:cs="Times New Roman"/>
                <w:sz w:val="20"/>
                <w:szCs w:val="20"/>
              </w:rPr>
              <w:t xml:space="preserve">policy brief showing that </w:t>
            </w:r>
            <w:r w:rsidRPr="00661C99">
              <w:rPr>
                <w:rFonts w:ascii="Times New Roman" w:hAnsi="Times New Roman" w:cs="Times New Roman"/>
                <w:sz w:val="20"/>
                <w:szCs w:val="20"/>
                <w:lang w:val="en-AU"/>
              </w:rPr>
              <w:t>‘FWB delivered in different sites revealed that participation in the program enhanced people’s capacity to take control of their lives. And at an individual level, empowerment manifested through attributes such as hope, goal setting, communication skills, empathy, a strong desire to help others, perseverance and a belief that the social environment can change</w:t>
            </w:r>
            <w:r>
              <w:rPr>
                <w:rFonts w:ascii="Times New Roman" w:hAnsi="Times New Roman" w:cs="Times New Roman"/>
                <w:sz w:val="20"/>
                <w:szCs w:val="20"/>
                <w:lang w:val="en-AU"/>
              </w:rPr>
              <w:t>’</w:t>
            </w:r>
            <w:r w:rsidR="00B217FA">
              <w:rPr>
                <w:rFonts w:ascii="Times New Roman" w:hAnsi="Times New Roman" w:cs="Times New Roman"/>
                <w:sz w:val="20"/>
                <w:szCs w:val="20"/>
                <w:lang w:val="en-AU"/>
              </w:rPr>
              <w:t>.</w:t>
            </w:r>
          </w:p>
        </w:tc>
        <w:tc>
          <w:tcPr>
            <w:tcW w:w="1635" w:type="pct"/>
          </w:tcPr>
          <w:p w14:paraId="060920E4"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lastRenderedPageBreak/>
              <w:t>The presentation to the senior management team was well received and the team began to gather ideas on how FWB could be incorporated in their day-to-day operations. Since then,</w:t>
            </w:r>
            <w:r>
              <w:rPr>
                <w:rFonts w:ascii="Times New Roman" w:hAnsi="Times New Roman" w:cs="Times New Roman"/>
                <w:color w:val="auto"/>
                <w:sz w:val="20"/>
                <w:szCs w:val="20"/>
              </w:rPr>
              <w:t xml:space="preserve"> Act for Kids applied for a $50K</w:t>
            </w:r>
            <w:r w:rsidRPr="00661C99">
              <w:rPr>
                <w:rFonts w:ascii="Times New Roman" w:hAnsi="Times New Roman" w:cs="Times New Roman"/>
                <w:color w:val="auto"/>
                <w:sz w:val="20"/>
                <w:szCs w:val="20"/>
              </w:rPr>
              <w:t xml:space="preserve"> grant from QLD Health and in collaboration with JCU has successfully integrated FWB a</w:t>
            </w:r>
            <w:r>
              <w:rPr>
                <w:rFonts w:ascii="Times New Roman" w:hAnsi="Times New Roman" w:cs="Times New Roman"/>
                <w:color w:val="auto"/>
                <w:sz w:val="20"/>
                <w:szCs w:val="20"/>
              </w:rPr>
              <w:t>s practice framework for their five</w:t>
            </w:r>
            <w:r w:rsidRPr="00661C99">
              <w:rPr>
                <w:rFonts w:ascii="Times New Roman" w:hAnsi="Times New Roman" w:cs="Times New Roman"/>
                <w:color w:val="auto"/>
                <w:sz w:val="20"/>
                <w:szCs w:val="20"/>
              </w:rPr>
              <w:t xml:space="preserve"> Safe Houses in Napranum, Aurukun, Pormpuaaw, Kowanyama and Doomadgee. </w:t>
            </w:r>
          </w:p>
        </w:tc>
      </w:tr>
      <w:tr w:rsidR="007B4F16" w:rsidRPr="00661C99" w14:paraId="3DA9B48C" w14:textId="77777777" w:rsidTr="00035AB3">
        <w:tc>
          <w:tcPr>
            <w:tcW w:w="336" w:type="pct"/>
          </w:tcPr>
          <w:p w14:paraId="4878D80B" w14:textId="77777777" w:rsidR="007B4F16" w:rsidRPr="00661C99" w:rsidRDefault="007B4F16" w:rsidP="007B4F16">
            <w:pPr>
              <w:pStyle w:val="Default"/>
              <w:numPr>
                <w:ilvl w:val="0"/>
                <w:numId w:val="1"/>
              </w:numPr>
              <w:spacing w:before="120" w:after="240" w:line="480" w:lineRule="auto"/>
              <w:rPr>
                <w:rFonts w:ascii="Times New Roman" w:hAnsi="Times New Roman" w:cs="Times New Roman"/>
                <w:color w:val="auto"/>
                <w:sz w:val="20"/>
                <w:szCs w:val="20"/>
              </w:rPr>
            </w:pPr>
          </w:p>
        </w:tc>
        <w:tc>
          <w:tcPr>
            <w:tcW w:w="686" w:type="pct"/>
          </w:tcPr>
          <w:p w14:paraId="5F0503AC" w14:textId="7A2E4FD3"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 xml:space="preserve"> Gabriel, 2017</w:t>
            </w:r>
            <w:r w:rsidR="00B217FA">
              <w:rPr>
                <w:rFonts w:ascii="Times New Roman" w:hAnsi="Times New Roman" w:cs="Times New Roman"/>
                <w:color w:val="auto"/>
                <w:sz w:val="20"/>
                <w:szCs w:val="20"/>
              </w:rPr>
              <w:t xml:space="preserve"> </w:t>
            </w:r>
            <w:r w:rsidR="00B217FA">
              <w:rPr>
                <w:rFonts w:ascii="Times New Roman" w:hAnsi="Times New Roman" w:cs="Times New Roman"/>
                <w:color w:val="auto"/>
                <w:sz w:val="20"/>
                <w:szCs w:val="20"/>
              </w:rPr>
              <w:fldChar w:fldCharType="begin"/>
            </w:r>
            <w:r w:rsidR="00B217FA">
              <w:rPr>
                <w:rFonts w:ascii="Times New Roman" w:hAnsi="Times New Roman" w:cs="Times New Roman"/>
                <w:color w:val="auto"/>
                <w:sz w:val="20"/>
                <w:szCs w:val="20"/>
              </w:rPr>
              <w:instrText xml:space="preserve"> ADDIN ZOTERO_ITEM CSL_CITATION {"citationID":"QEWLKVaL","properties":{"formattedCitation":"(8)","plainCitation":"(8)","noteIndex":0},"citationItems":[{"id":2658,"uris":["http://zotero.org/users/1370043/items/TYPJXD92"],"uri":["http://zotero.org/users/1370043/items/TYPJXD92"],"itemData":{"id":2658,"type":"article-magazine","container-title":"Family Wellbeing newsletter","issue":"3","title":"Family Wellbeing, Central Coast NSW… the story so far","URL":"https://www.cairnsinstitute.jcu.edu.au/fwb-newsletter/","author":[{"family":"Gabriel","given":"Z"}],"issued":{"date-parts":[["2017"]]}}}],"schema":"https://github.com/citation-style-language/schema/raw/master/csl-citation.json"} </w:instrText>
            </w:r>
            <w:r w:rsidR="00B217FA">
              <w:rPr>
                <w:rFonts w:ascii="Times New Roman" w:hAnsi="Times New Roman" w:cs="Times New Roman"/>
                <w:color w:val="auto"/>
                <w:sz w:val="20"/>
                <w:szCs w:val="20"/>
              </w:rPr>
              <w:fldChar w:fldCharType="separate"/>
            </w:r>
            <w:r w:rsidR="00B217FA" w:rsidRPr="00B217FA">
              <w:rPr>
                <w:rFonts w:ascii="Times New Roman" w:hAnsi="Times New Roman" w:cs="Times New Roman"/>
                <w:sz w:val="20"/>
              </w:rPr>
              <w:t>(8)</w:t>
            </w:r>
            <w:r w:rsidR="00B217FA">
              <w:rPr>
                <w:rFonts w:ascii="Times New Roman" w:hAnsi="Times New Roman" w:cs="Times New Roman"/>
                <w:color w:val="auto"/>
                <w:sz w:val="20"/>
                <w:szCs w:val="20"/>
              </w:rPr>
              <w:fldChar w:fldCharType="end"/>
            </w:r>
          </w:p>
          <w:p w14:paraId="5E6AC9FB"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p>
        </w:tc>
        <w:tc>
          <w:tcPr>
            <w:tcW w:w="839" w:type="pct"/>
            <w:shd w:val="clear" w:color="auto" w:fill="auto"/>
          </w:tcPr>
          <w:p w14:paraId="41D37C9F"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 xml:space="preserve">Newsletter story about how NSW Central Coast Primary Care (CCPC) service adopted FWB as a program that could support </w:t>
            </w:r>
            <w:r>
              <w:rPr>
                <w:rFonts w:ascii="Times New Roman" w:hAnsi="Times New Roman" w:cs="Times New Roman"/>
                <w:color w:val="auto"/>
                <w:sz w:val="20"/>
                <w:szCs w:val="20"/>
                <w:lang w:val="en-AU"/>
              </w:rPr>
              <w:t>SEWB</w:t>
            </w:r>
            <w:r w:rsidRPr="00661C99">
              <w:rPr>
                <w:rFonts w:ascii="Times New Roman" w:hAnsi="Times New Roman" w:cs="Times New Roman"/>
                <w:color w:val="auto"/>
                <w:sz w:val="20"/>
                <w:szCs w:val="20"/>
                <w:lang w:val="en-AU"/>
              </w:rPr>
              <w:t xml:space="preserve"> of young </w:t>
            </w:r>
            <w:r w:rsidRPr="00661C99">
              <w:rPr>
                <w:rFonts w:ascii="Times New Roman" w:hAnsi="Times New Roman" w:cs="Times New Roman"/>
                <w:color w:val="auto"/>
                <w:sz w:val="20"/>
                <w:szCs w:val="20"/>
                <w:lang w:val="en-AU"/>
              </w:rPr>
              <w:lastRenderedPageBreak/>
              <w:t>Aboriginal men in the region</w:t>
            </w:r>
          </w:p>
          <w:p w14:paraId="6960C2D1"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p>
        </w:tc>
        <w:tc>
          <w:tcPr>
            <w:tcW w:w="1505" w:type="pct"/>
          </w:tcPr>
          <w:p w14:paraId="401EAAB6" w14:textId="5A4CB7B5" w:rsidR="007B4F16" w:rsidRPr="00661C99" w:rsidRDefault="007B4F16" w:rsidP="00B217FA">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lastRenderedPageBreak/>
              <w:t>During literature searches and discussions of programs that may fit, the FWB research came up frequently. It was the evaluati</w:t>
            </w:r>
            <w:r w:rsidR="00B217FA">
              <w:rPr>
                <w:rFonts w:ascii="Times New Roman" w:hAnsi="Times New Roman" w:cs="Times New Roman"/>
                <w:color w:val="auto"/>
                <w:sz w:val="20"/>
                <w:szCs w:val="20"/>
              </w:rPr>
              <w:t xml:space="preserve">on paper by Tsey and Every </w:t>
            </w:r>
            <w:r w:rsidR="00B217FA">
              <w:rPr>
                <w:rFonts w:ascii="Times New Roman" w:hAnsi="Times New Roman" w:cs="Times New Roman"/>
                <w:color w:val="auto"/>
                <w:sz w:val="20"/>
                <w:szCs w:val="20"/>
              </w:rPr>
              <w:fldChar w:fldCharType="begin"/>
            </w:r>
            <w:r w:rsidR="00B217FA">
              <w:rPr>
                <w:rFonts w:ascii="Times New Roman" w:hAnsi="Times New Roman" w:cs="Times New Roman"/>
                <w:color w:val="auto"/>
                <w:sz w:val="20"/>
                <w:szCs w:val="20"/>
              </w:rPr>
              <w:instrText xml:space="preserve"> ADDIN ZOTERO_ITEM CSL_CITATION {"citationID":"zOc1PkXd","properties":{"formattedCitation":"(9)","plainCitation":"(9)","noteIndex":0},"citationItems":[{"id":1239,"uris":["http://zotero.org/users/1370043/items/CTCU2FSG"],"uri":["http://zotero.org/users/1370043/items/CTCU2FSG"],"itemData":{"id":1239,"type":"article-journal","abstract":"Objective:To evaluate the effectiveness of a Family WellBeing empowerment course. Method:A range of methods were used, including: theory-driven analysis of literature and project documentation; participant observation; and analysis of course participants' personal narratives against set empowerment criteria. Results:Participation in the Family WellBeing course resulted in high levels of personal empowerment. The course enhanced participants' sense of self-worth, resilience, ability to reflect on root causes of problems and problem-solving ability, as well as belief in the mutability of the social environment. They were able to bring about modest, but significant, improvements in their general sense of wellbeing and those of the people around them in ways that were previously impossible. There was no evidence of organisational and community empowerment, such as stronger social networks and systems-level changes. Discussion:The effectiveness of the Family WellBeing course shows the importance of resourcing Aboriginal people to develop their own programs that address trauma and other issues resulting from settler colonisation. Conclusions:The study highlights three lessons for the use of empowerment interventions to improve health conditions, particularly among socially disadvantaged groups: 1) A need to adopt an ecological approach that simultaneously addresses empowerment at multiple settings or levels. 2) A need to ensure that such programs reach a critical mass of the target group. 3) Policy-makers and practitioners need to take a longer-term approach to empowerment interventions, including properly resourced longitudinal studies to document and enhance the evidence base for such interventions.","container-title":"Australian and New Zealand Journal of Public Health","DOI":"10.1111/j.1467-842X.2000.tb00501.x","ISSN":"1753-6405","issue":"5","language":"en","note":"_eprint: https://onlinelibrary.wiley.com/doi/pdf/10.1111/j.1467-842X.2000.tb00501.x","page":"509-514","source":"Wiley Online Library","title":"Evaluating Aboriginal empowerment programs: the case of Family WellBeing","title-short":"Evaluating Aboriginal empowerment programs","volume":"24","author":[{"family":"Tsey","given":"Komla"},{"family":"Every","given":"Anne"}],"issued":{"date-parts":[["2000"]]}}}],"schema":"https://github.com/citation-style-language/schema/raw/master/csl-citation.json"} </w:instrText>
            </w:r>
            <w:r w:rsidR="00B217FA">
              <w:rPr>
                <w:rFonts w:ascii="Times New Roman" w:hAnsi="Times New Roman" w:cs="Times New Roman"/>
                <w:color w:val="auto"/>
                <w:sz w:val="20"/>
                <w:szCs w:val="20"/>
              </w:rPr>
              <w:fldChar w:fldCharType="separate"/>
            </w:r>
            <w:r w:rsidR="00B217FA" w:rsidRPr="00B217FA">
              <w:rPr>
                <w:rFonts w:ascii="Times New Roman" w:hAnsi="Times New Roman" w:cs="Times New Roman"/>
                <w:sz w:val="20"/>
              </w:rPr>
              <w:t>(9)</w:t>
            </w:r>
            <w:r w:rsidR="00B217FA">
              <w:rPr>
                <w:rFonts w:ascii="Times New Roman" w:hAnsi="Times New Roman" w:cs="Times New Roman"/>
                <w:color w:val="auto"/>
                <w:sz w:val="20"/>
                <w:szCs w:val="20"/>
              </w:rPr>
              <w:fldChar w:fldCharType="end"/>
            </w:r>
            <w:r w:rsidRPr="00661C99">
              <w:rPr>
                <w:rFonts w:ascii="Times New Roman" w:hAnsi="Times New Roman" w:cs="Times New Roman"/>
                <w:color w:val="auto"/>
                <w:sz w:val="20"/>
                <w:szCs w:val="20"/>
              </w:rPr>
              <w:t xml:space="preserve"> that prompted the service to get in contact with Prof Tsey initially. This was followed by FWB researchers training and </w:t>
            </w:r>
            <w:r w:rsidRPr="00661C99">
              <w:rPr>
                <w:rFonts w:ascii="Times New Roman" w:hAnsi="Times New Roman" w:cs="Times New Roman"/>
                <w:color w:val="auto"/>
                <w:sz w:val="20"/>
                <w:szCs w:val="20"/>
              </w:rPr>
              <w:lastRenderedPageBreak/>
              <w:t xml:space="preserve">supporting local people to implement the program targeting young Aboriginal men at risk of dropping out school and/or entering the juvenile justice system. </w:t>
            </w:r>
          </w:p>
        </w:tc>
        <w:tc>
          <w:tcPr>
            <w:tcW w:w="1635" w:type="pct"/>
          </w:tcPr>
          <w:p w14:paraId="7387D956" w14:textId="05ECE246" w:rsidR="007B4F16" w:rsidRPr="00661C99" w:rsidRDefault="007B4F16" w:rsidP="0072154F">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lastRenderedPageBreak/>
              <w:t xml:space="preserve">Between 2012 and 2017, the service ran 22 programs with young Aboriginal men inclusive of several programs within the Frank Baxter Juvenile Justice Centre. Four intensives ‘train the trainer’ groups have been run with Aboriginal staff and community members. One pilot group has been run with young </w:t>
            </w:r>
            <w:r w:rsidRPr="00661C99">
              <w:rPr>
                <w:rFonts w:ascii="Times New Roman" w:hAnsi="Times New Roman" w:cs="Times New Roman"/>
                <w:color w:val="auto"/>
                <w:sz w:val="20"/>
                <w:szCs w:val="20"/>
              </w:rPr>
              <w:lastRenderedPageBreak/>
              <w:t>Aboriginal women. A total of 378 (327 program participants, 51 participant supporters) benefited from the research collaboration</w:t>
            </w:r>
            <w:r w:rsidR="0072154F">
              <w:rPr>
                <w:rFonts w:ascii="Times New Roman" w:hAnsi="Times New Roman" w:cs="Times New Roman"/>
                <w:color w:val="auto"/>
                <w:sz w:val="20"/>
                <w:szCs w:val="20"/>
              </w:rPr>
              <w:t>.</w:t>
            </w:r>
            <w:r w:rsidRPr="00661C99">
              <w:rPr>
                <w:rFonts w:ascii="Times New Roman" w:hAnsi="Times New Roman" w:cs="Times New Roman"/>
                <w:color w:val="auto"/>
                <w:sz w:val="20"/>
                <w:szCs w:val="20"/>
              </w:rPr>
              <w:t xml:space="preserve"> </w:t>
            </w:r>
            <w:r w:rsidR="0072154F">
              <w:rPr>
                <w:rFonts w:ascii="Times New Roman" w:hAnsi="Times New Roman" w:cs="Times New Roman"/>
                <w:color w:val="auto"/>
                <w:sz w:val="20"/>
                <w:szCs w:val="20"/>
              </w:rPr>
              <w:fldChar w:fldCharType="begin"/>
            </w:r>
            <w:r w:rsidR="004841DD">
              <w:rPr>
                <w:rFonts w:ascii="Times New Roman" w:hAnsi="Times New Roman" w:cs="Times New Roman"/>
                <w:color w:val="auto"/>
                <w:sz w:val="20"/>
                <w:szCs w:val="20"/>
              </w:rPr>
              <w:instrText xml:space="preserve"> ADDIN ZOTERO_ITEM CSL_CITATION {"citationID":"lsRgubgt","properties":{"formattedCitation":"(10,11)","plainCitation":"(10,11)","noteIndex":0},"citationItems":[{"id":1260,"uris":["http://zotero.org/users/1370043/items/B4EKH626"],"uri":["http://zotero.org/users/1370043/items/B4EKH626"],"itemData":{"id":1260,"type":"article-journal","abstract":"A significant proportion of young people in Australia are currently not being engaged in school and other social systems. This article presents the results of a mixed-methods study of a pilot Family Wellbeing intervention designed to enhance the social and emotional wellbeing (SEWB) of young Aboriginal men and improve engagement in education, employment, and other social participation. A questionnaire incorporating the Kessler Psychological Distress Scale and respondent self-assessment SEWB questions was administered to program participants pre and post intervention (N = 30) and qualitative data were collected from program organisers (N = 6). The results suggest that the Family Wellbeing intervention has the capacity to make a marked contribution to the SEWB of young Aboriginal men; participants experienced strong improvement in capacity to manage relationships, engagement in education and employment, and mental and physical health. The factors that enabled the program to be adapted to the target group and setting are documented.","container-title":"Australian Social Work","DOI":"10.1080/0312407X.2015.1137101","ISSN":"0312-407X","issue":"2","note":"publisher: Routledge\n_eprint: https://doi.org/10.1080/0312407X.2015.1137101","page":"241-252","source":"Taylor and Francis+NEJM","title":"Connecting and strengthening young Aboriginal men: A Family Wellbeing pilot study","title-short":"Connecting and Strengthening Young Aboriginal Men","volume":"69","author":[{"family":"Whiteside","given":"Mary"},{"family":"Klieve","given":"Helen"},{"family":"Millgate","given":"Nigel"},{"family":"Webb","given":"Brad"},{"family":"Gabriel","given":"Zona"},{"family":"McPherson","given":"Lynne"},{"family":"Tsey","given":"Komla"}],"issued":{"date-parts":[["2016",4,2]]}}},{"id":1259,"uris":["http://zotero.org/users/1370043/items/AW39FJ3L"],"uri":["http://zotero.org/users/1370043/items/AW39FJ3L"],"itemData":{"id":1259,"type":"report","abstract":"A significant proportion of young people in Australia including the NSW Central Coast region are not engaged in school, work and other social systems. The consequences of disengagement can be profound and are linked to higher rates of social and mental health problems, including suicide, alcohol and drug use. Being male and Indigenous are amongst the key factors identified as being risks for youth disengagement. This report presents an analysis of the Family Wellbeing (FWB) program on the NSW Central Coast. FWB implementation is designed to enhance the social and emotional wellbeing of young Aboriginal men and improve engagement in education, employment and other social and cultural participation. The report draws attention to the need for more sustainable funding for promising programs such as the Central Coast FWB including properly resourced long-term evaluation. Insecurity and loss of funding means a loss of opportunity for future participants to be supported, mentored and engaged in learning and employment. It will also impact on those who have completed FWB and who rely on the FWB network for ongoing support.","event-place":"Cairns, Queensland","genre":"Report","note":"ISBN: 9780648503750\nnumber-of-pages: 25","publisher":"Cairns Institute","publisher-place":"Cairns, Queensland","source":"researchonline.jcu.edu.au","title":"“A safe haven to support me”: An evaluation report on the Central Coast Family Wellbeing program","title-short":"“A safe haven to support me”","URL":"https://researchonline.jcu.edu.au/59155/","author":[{"family":"Klieve","given":"Helen"},{"family":"Cheer","given":"Karen"},{"family":"Whiteside","given":"Mary"},{"family":"Baird","given":"Leslie"},{"family":"MacLean","given":"Sarah"},{"family":"Tsey","given":"Komla"}],"accessed":{"date-parts":[["2020",8,19]]},"issued":{"date-parts":[["2019"]]}}}],"schema":"https://github.com/citation-style-language/schema/raw/master/csl-citation.json"} </w:instrText>
            </w:r>
            <w:r w:rsidR="0072154F">
              <w:rPr>
                <w:rFonts w:ascii="Times New Roman" w:hAnsi="Times New Roman" w:cs="Times New Roman"/>
                <w:color w:val="auto"/>
                <w:sz w:val="20"/>
                <w:szCs w:val="20"/>
              </w:rPr>
              <w:fldChar w:fldCharType="separate"/>
            </w:r>
            <w:r w:rsidR="0072154F" w:rsidRPr="0072154F">
              <w:rPr>
                <w:rFonts w:ascii="Times New Roman" w:hAnsi="Times New Roman" w:cs="Times New Roman"/>
                <w:sz w:val="20"/>
              </w:rPr>
              <w:t>(10,11)</w:t>
            </w:r>
            <w:r w:rsidR="0072154F">
              <w:rPr>
                <w:rFonts w:ascii="Times New Roman" w:hAnsi="Times New Roman" w:cs="Times New Roman"/>
                <w:color w:val="auto"/>
                <w:sz w:val="20"/>
                <w:szCs w:val="20"/>
              </w:rPr>
              <w:fldChar w:fldCharType="end"/>
            </w:r>
            <w:r w:rsidRPr="00661C99">
              <w:rPr>
                <w:rFonts w:ascii="Times New Roman" w:hAnsi="Times New Roman" w:cs="Times New Roman"/>
                <w:color w:val="auto"/>
                <w:sz w:val="20"/>
                <w:szCs w:val="20"/>
              </w:rPr>
              <w:t xml:space="preserve"> </w:t>
            </w:r>
          </w:p>
        </w:tc>
      </w:tr>
      <w:tr w:rsidR="007B4F16" w:rsidRPr="00661C99" w14:paraId="02F96D1E" w14:textId="77777777" w:rsidTr="00035AB3">
        <w:tc>
          <w:tcPr>
            <w:tcW w:w="336" w:type="pct"/>
          </w:tcPr>
          <w:p w14:paraId="328045E3" w14:textId="77777777" w:rsidR="007B4F16" w:rsidRPr="00661C99" w:rsidRDefault="007B4F16" w:rsidP="007B4F16">
            <w:pPr>
              <w:pStyle w:val="ListParagraph"/>
              <w:numPr>
                <w:ilvl w:val="0"/>
                <w:numId w:val="1"/>
              </w:numPr>
              <w:spacing w:after="200" w:line="480" w:lineRule="auto"/>
              <w:rPr>
                <w:sz w:val="20"/>
                <w:szCs w:val="20"/>
                <w:lang w:val="en-US"/>
              </w:rPr>
            </w:pPr>
          </w:p>
        </w:tc>
        <w:tc>
          <w:tcPr>
            <w:tcW w:w="686" w:type="pct"/>
          </w:tcPr>
          <w:p w14:paraId="7E05E5EF" w14:textId="140734AC"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Closing the Gap Clearinghouse (AIHW, AIFS)</w:t>
            </w:r>
            <w:r>
              <w:rPr>
                <w:rFonts w:ascii="Times New Roman" w:hAnsi="Times New Roman" w:cs="Times New Roman"/>
                <w:color w:val="auto"/>
                <w:sz w:val="20"/>
                <w:szCs w:val="20"/>
              </w:rPr>
              <w:t>,</w:t>
            </w:r>
            <w:r w:rsidRPr="00661C99">
              <w:rPr>
                <w:rFonts w:ascii="Times New Roman" w:hAnsi="Times New Roman" w:cs="Times New Roman"/>
                <w:color w:val="auto"/>
                <w:sz w:val="20"/>
                <w:szCs w:val="20"/>
              </w:rPr>
              <w:t xml:space="preserve"> 2013</w:t>
            </w:r>
            <w:r w:rsidR="0072154F">
              <w:rPr>
                <w:rFonts w:ascii="Times New Roman" w:hAnsi="Times New Roman" w:cs="Times New Roman"/>
                <w:color w:val="auto"/>
                <w:sz w:val="20"/>
                <w:szCs w:val="20"/>
              </w:rPr>
              <w:t xml:space="preserve"> </w:t>
            </w:r>
            <w:r w:rsidR="0072154F">
              <w:rPr>
                <w:rFonts w:ascii="Times New Roman" w:hAnsi="Times New Roman" w:cs="Times New Roman"/>
                <w:color w:val="auto"/>
                <w:sz w:val="20"/>
                <w:szCs w:val="20"/>
              </w:rPr>
              <w:fldChar w:fldCharType="begin"/>
            </w:r>
            <w:r w:rsidR="0072154F">
              <w:rPr>
                <w:rFonts w:ascii="Times New Roman" w:hAnsi="Times New Roman" w:cs="Times New Roman"/>
                <w:color w:val="auto"/>
                <w:sz w:val="20"/>
                <w:szCs w:val="20"/>
              </w:rPr>
              <w:instrText xml:space="preserve"> ADDIN ZOTERO_ITEM CSL_CITATION {"citationID":"k1mOkbpz","properties":{"formattedCitation":"(12)","plainCitation":"(12)","noteIndex":0},"citationItems":[{"id":2667,"uris":["http://zotero.org/users/1370043/items/V6Q2BPCH"],"uri":["http://zotero.org/users/1370043/items/V6Q2BPCH"],"itemData":{"id":2667,"type":"report","abstract":"This report and its appendices summarise the findings of the Clearinghouse on what works to reduce Indigenous disadvantage in relation to three Council of Australian Governments building blocks...","event-place":"Canberra","language":"en-AU","publisher":"AIHW","publisher-place":"Canberra","title":"What works to overcome Indigenous disadvantage: key learnings and gaps in the evidence","title-short":"What works to overcome Indigenous disadvantage","URL":"https://www.aihw.gov.au/reports/indigenous-australians/works-to-overcome-indigenous-disadvantage-2011/contents/table-of-contents","author":[{"literal":"Closing the Gap Clearinghouse (AIHW &amp; AIFS)"}],"accessed":{"date-parts":[["2021",5,14]]},"issued":{"date-parts":[["2013"]]}}}],"schema":"https://github.com/citation-style-language/schema/raw/master/csl-citation.json"} </w:instrText>
            </w:r>
            <w:r w:rsidR="0072154F">
              <w:rPr>
                <w:rFonts w:ascii="Times New Roman" w:hAnsi="Times New Roman" w:cs="Times New Roman"/>
                <w:color w:val="auto"/>
                <w:sz w:val="20"/>
                <w:szCs w:val="20"/>
              </w:rPr>
              <w:fldChar w:fldCharType="separate"/>
            </w:r>
            <w:r w:rsidR="0072154F" w:rsidRPr="0072154F">
              <w:rPr>
                <w:rFonts w:ascii="Times New Roman" w:hAnsi="Times New Roman" w:cs="Times New Roman"/>
                <w:sz w:val="20"/>
              </w:rPr>
              <w:t>(12)</w:t>
            </w:r>
            <w:r w:rsidR="0072154F">
              <w:rPr>
                <w:rFonts w:ascii="Times New Roman" w:hAnsi="Times New Roman" w:cs="Times New Roman"/>
                <w:color w:val="auto"/>
                <w:sz w:val="20"/>
                <w:szCs w:val="20"/>
              </w:rPr>
              <w:fldChar w:fldCharType="end"/>
            </w:r>
          </w:p>
          <w:p w14:paraId="4353052C" w14:textId="49BE1881" w:rsidR="007B4F16" w:rsidRPr="00661C99" w:rsidRDefault="007B4F16" w:rsidP="00035AB3">
            <w:pPr>
              <w:pStyle w:val="Default"/>
              <w:spacing w:before="120" w:after="240" w:line="480" w:lineRule="auto"/>
              <w:rPr>
                <w:rFonts w:ascii="Times New Roman" w:hAnsi="Times New Roman" w:cs="Times New Roman"/>
                <w:color w:val="auto"/>
                <w:sz w:val="20"/>
                <w:szCs w:val="20"/>
              </w:rPr>
            </w:pPr>
            <w:r>
              <w:rPr>
                <w:rFonts w:ascii="Times New Roman" w:hAnsi="Times New Roman" w:cs="Times New Roman"/>
                <w:color w:val="auto"/>
                <w:sz w:val="20"/>
                <w:szCs w:val="20"/>
              </w:rPr>
              <w:t>Productivity Commission,</w:t>
            </w:r>
            <w:r w:rsidRPr="00661C99">
              <w:rPr>
                <w:rFonts w:ascii="Times New Roman" w:hAnsi="Times New Roman" w:cs="Times New Roman"/>
                <w:color w:val="auto"/>
                <w:sz w:val="20"/>
                <w:szCs w:val="20"/>
              </w:rPr>
              <w:t xml:space="preserve"> 2016</w:t>
            </w:r>
            <w:r w:rsidR="0072154F">
              <w:rPr>
                <w:rFonts w:ascii="Times New Roman" w:hAnsi="Times New Roman" w:cs="Times New Roman"/>
                <w:color w:val="auto"/>
                <w:sz w:val="20"/>
                <w:szCs w:val="20"/>
              </w:rPr>
              <w:t xml:space="preserve"> </w:t>
            </w:r>
            <w:r w:rsidR="0072154F">
              <w:rPr>
                <w:rFonts w:ascii="Times New Roman" w:hAnsi="Times New Roman" w:cs="Times New Roman"/>
                <w:color w:val="auto"/>
                <w:sz w:val="20"/>
                <w:szCs w:val="20"/>
              </w:rPr>
              <w:fldChar w:fldCharType="begin"/>
            </w:r>
            <w:r w:rsidR="0072154F">
              <w:rPr>
                <w:rFonts w:ascii="Times New Roman" w:hAnsi="Times New Roman" w:cs="Times New Roman"/>
                <w:color w:val="auto"/>
                <w:sz w:val="20"/>
                <w:szCs w:val="20"/>
              </w:rPr>
              <w:instrText xml:space="preserve"> ADDIN ZOTERO_ITEM CSL_CITATION {"citationID":"MHhl15SD","properties":{"formattedCitation":"(13)","plainCitation":"(13)","noteIndex":0},"citationItems":[{"id":2669,"uris":["http://zotero.org/users/1370043/items/4MIBVLRY"],"uri":["http://zotero.org/users/1370043/items/4MIBVLRY"],"itemData":{"id":2669,"type":"report","abstract":"This comprehensive report card measures where things have improved (or not) against 52 indicators across a range of areas including governance, leadership and culture, early childhood, education, health, home and safe and supportive communities, and includes case studies on things that work to improve outcomes.","event-place":"Canberra","language":"en","publisher":"Productivity Commission","publisher-place":"Canberra","title":"Overcoming Indigenous Disadvantage: Key Indicators 2016","title-short":"Overcoming Indigenous Disadvantage","URL":"https://www.pc.gov.au/research/ongoing/overcoming-indigenous-disadvantage/2016","author":[{"literal":"Productivity Commission"}],"accessed":{"date-parts":[["2021",5,16]]},"issued":{"date-parts":[["2016"]]}}}],"schema":"https://github.com/citation-style-language/schema/raw/master/csl-citation.json"} </w:instrText>
            </w:r>
            <w:r w:rsidR="0072154F">
              <w:rPr>
                <w:rFonts w:ascii="Times New Roman" w:hAnsi="Times New Roman" w:cs="Times New Roman"/>
                <w:color w:val="auto"/>
                <w:sz w:val="20"/>
                <w:szCs w:val="20"/>
              </w:rPr>
              <w:fldChar w:fldCharType="separate"/>
            </w:r>
            <w:r w:rsidR="0072154F" w:rsidRPr="0072154F">
              <w:rPr>
                <w:rFonts w:ascii="Times New Roman" w:hAnsi="Times New Roman" w:cs="Times New Roman"/>
                <w:sz w:val="20"/>
              </w:rPr>
              <w:t>(13)</w:t>
            </w:r>
            <w:r w:rsidR="0072154F">
              <w:rPr>
                <w:rFonts w:ascii="Times New Roman" w:hAnsi="Times New Roman" w:cs="Times New Roman"/>
                <w:color w:val="auto"/>
                <w:sz w:val="20"/>
                <w:szCs w:val="20"/>
              </w:rPr>
              <w:fldChar w:fldCharType="end"/>
            </w:r>
          </w:p>
        </w:tc>
        <w:tc>
          <w:tcPr>
            <w:tcW w:w="839" w:type="pct"/>
          </w:tcPr>
          <w:p w14:paraId="62FA52DB"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Annual reports by the Productivity Commission to the Australian Parliament on ‘what works to overcome Indigenous disadvantage’ designed to track progress towards closing the health gap.</w:t>
            </w:r>
          </w:p>
        </w:tc>
        <w:tc>
          <w:tcPr>
            <w:tcW w:w="1505" w:type="pct"/>
          </w:tcPr>
          <w:p w14:paraId="38498EA6" w14:textId="231DC0A2" w:rsidR="007B4F16" w:rsidRPr="00661C99" w:rsidRDefault="007B4F16" w:rsidP="0072154F">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 xml:space="preserve">Citing FWB research papers </w:t>
            </w:r>
            <w:r w:rsidR="0072154F">
              <w:rPr>
                <w:rFonts w:ascii="Times New Roman" w:hAnsi="Times New Roman" w:cs="Times New Roman"/>
                <w:color w:val="auto"/>
                <w:sz w:val="20"/>
                <w:szCs w:val="20"/>
              </w:rPr>
              <w:fldChar w:fldCharType="begin"/>
            </w:r>
            <w:r w:rsidR="004841DD">
              <w:rPr>
                <w:rFonts w:ascii="Times New Roman" w:hAnsi="Times New Roman" w:cs="Times New Roman"/>
                <w:color w:val="auto"/>
                <w:sz w:val="20"/>
                <w:szCs w:val="20"/>
              </w:rPr>
              <w:instrText xml:space="preserve"> ADDIN ZOTERO_ITEM CSL_CITATION {"citationID":"zltVaWcs","properties":{"formattedCitation":"(3,9)","plainCitation":"(3,9)","noteIndex":0},"citationItems":[{"id":2650,"uris":["http://zotero.org/users/1370043/items/ZRBIEFIX"],"uri":["http://zotero.org/users/1370043/items/ZRBIEFIX"],"itemData":{"id":2650,"type":"article-journal","abstract":"This paper employs a thematic qualitative analysis to synthesise seven discrete formative evaluation reports of an Indigenous Australian family empowerment programme across four study settings in Australia's Northern Territory and Queensland between 1998 and 2005. The aim of the study, which involved a total of 148 adult and 70 school children participants, is to develop a deeper understanding of the contribution of community empowerment education programmes to improving Indigenous health, beyond the evidence derived from the original discrete micro evaluative studies. Within a context beset by trans-generational grief and despair resulting from colonisation and other discriminatory government policies, across the study sites, the participants demonstrated enhanced capacity to exert greater control over factors shaping their health and wellbeing. Evident in the participants' narratives was a heightened sense of Indigenous and spiritual identity, respect for self and others, enhanced parenting and capacity to deal with substance abuse and violence. Changes at the personal level influenced other individuals and systems over time, highlighting the ecological or multilevel dimensions of empowerment. The study reveals the role of psychosocial empowerment attributes as important foundational resources in helping people engage and benefit from health and other behaviour modification programmes, and take advantage of any reforms made within macro policy environments. A key limitation or challenge in the use of psychosocial empowerment programmes relates to the time and resources required to achieve change at population level. A long-term partnership approach to empowerment research that creatively integrates micro community empowerment initiatives with macro policies and programmes is vital if health gains are to be maximised.","container-title":"Health &amp; Social Care in the Community","DOI":"10.1111/j.1365-2524.2009.00885.x","ISSN":"1365-2524","issue":"2","journalAbbreviation":"Health Soc Care Community","language":"eng","note":"PMID: 19804554","page":"169-179","source":"PubMed","title":"Empowerment and Indigenous Australian health: A synthesis of findings from Family Wellbeing formative research","title-short":"Empowerment and Indigenous Australian health","volume":"18","author":[{"family":"Tsey","given":"Komla"},{"family":"Whiteside","given":"Mary"},{"family":"Haswell-Elkins","given":"Melissa"},{"family":"Bainbridge","given":"Roxanne"},{"family":"Cadet-James","given":"Yvonne"},{"family":"Wilson","given":"Andrew"}],"issued":{"date-parts":[["2009"]]}}},{"id":1239,"uris":["http://zotero.org/users/1370043/items/CTCU2FSG"],"uri":["http://zotero.org/users/1370043/items/CTCU2FSG"],"itemData":{"id":1239,"type":"article-journal","abstract":"Objective:To evaluate the effectiveness of a Family WellBeing empowerment course. Method:A range of methods were used, including: theory-driven analysis of literature and project documentation; participant observation; and analysis of course participants' personal narratives against set empowerment criteria. Results:Participation in the Family WellBeing course resulted in high levels of personal empowerment. The course enhanced participants' sense of self-worth, resilience, ability to reflect on root causes of problems and problem-solving ability, as well as belief in the mutability of the social environment. They were able to bring about modest, but significant, improvements in their general sense of wellbeing and those of the people around them in ways that were previously impossible. There was no evidence of organisational and community empowerment, such as stronger social networks and systems-level changes. Discussion:The effectiveness of the Family WellBeing course shows the importance of resourcing Aboriginal people to develop their own programs that address trauma and other issues resulting from settler colonisation. Conclusions:The study highlights three lessons for the use of empowerment interventions to improve health conditions, particularly among socially disadvantaged groups: 1) A need to adopt an ecological approach that simultaneously addresses empowerment at multiple settings or levels. 2) A need to ensure that such programs reach a critical mass of the target group. 3) Policy-makers and practitioners need to take a longer-term approach to empowerment interventions, including properly resourced longitudinal studies to document and enhance the evidence base for such interventions.","container-title":"Australian and New Zealand Journal of Public Health","DOI":"10.1111/j.1467-842X.2000.tb00501.x","ISSN":"1753-6405","issue":"5","language":"en","note":"_eprint: https://onlinelibrary.wiley.com/doi/pdf/10.1111/j.1467-842X.2000.tb00501.x","page":"509-514","source":"Wiley Online Library","title":"Evaluating Aboriginal empowerment programs: the case of Family WellBeing","title-short":"Evaluating Aboriginal empowerment programs","volume":"24","author":[{"family":"Tsey","given":"Komla"},{"family":"Every","given":"Anne"}],"issued":{"date-parts":[["2000"]]}}}],"schema":"https://github.com/citation-style-language/schema/raw/master/csl-citation.json"} </w:instrText>
            </w:r>
            <w:r w:rsidR="0072154F">
              <w:rPr>
                <w:rFonts w:ascii="Times New Roman" w:hAnsi="Times New Roman" w:cs="Times New Roman"/>
                <w:color w:val="auto"/>
                <w:sz w:val="20"/>
                <w:szCs w:val="20"/>
              </w:rPr>
              <w:fldChar w:fldCharType="separate"/>
            </w:r>
            <w:r w:rsidR="0072154F" w:rsidRPr="0072154F">
              <w:rPr>
                <w:rFonts w:ascii="Times New Roman" w:hAnsi="Times New Roman" w:cs="Times New Roman"/>
                <w:sz w:val="20"/>
              </w:rPr>
              <w:t>(3,9)</w:t>
            </w:r>
            <w:r w:rsidR="0072154F">
              <w:rPr>
                <w:rFonts w:ascii="Times New Roman" w:hAnsi="Times New Roman" w:cs="Times New Roman"/>
                <w:color w:val="auto"/>
                <w:sz w:val="20"/>
                <w:szCs w:val="20"/>
              </w:rPr>
              <w:fldChar w:fldCharType="end"/>
            </w:r>
            <w:r w:rsidRPr="00661C99">
              <w:rPr>
                <w:rFonts w:ascii="Times New Roman" w:hAnsi="Times New Roman" w:cs="Times New Roman"/>
                <w:color w:val="auto"/>
                <w:sz w:val="20"/>
                <w:szCs w:val="20"/>
              </w:rPr>
              <w:t xml:space="preserve">, the 2013 and 2016 reports described FWB as a </w:t>
            </w:r>
            <w:r>
              <w:rPr>
                <w:rFonts w:ascii="Times New Roman" w:eastAsia="Times New Roman" w:hAnsi="Times New Roman" w:cs="Times New Roman"/>
                <w:i/>
                <w:sz w:val="20"/>
                <w:szCs w:val="20"/>
                <w:lang w:eastAsia="en-AU"/>
              </w:rPr>
              <w:t>“cultural healing</w:t>
            </w:r>
            <w:r w:rsidRPr="00661C99">
              <w:rPr>
                <w:rFonts w:ascii="Times New Roman" w:eastAsia="Times New Roman" w:hAnsi="Times New Roman" w:cs="Times New Roman"/>
                <w:i/>
                <w:sz w:val="20"/>
                <w:szCs w:val="20"/>
                <w:lang w:eastAsia="en-AU"/>
              </w:rPr>
              <w:t xml:space="preserve"> program</w:t>
            </w:r>
            <w:r>
              <w:rPr>
                <w:rFonts w:ascii="Times New Roman" w:eastAsia="Times New Roman" w:hAnsi="Times New Roman" w:cs="Times New Roman"/>
                <w:i/>
                <w:sz w:val="20"/>
                <w:szCs w:val="20"/>
                <w:lang w:eastAsia="en-AU"/>
              </w:rPr>
              <w:t>”</w:t>
            </w:r>
            <w:r w:rsidRPr="00661C99">
              <w:rPr>
                <w:rFonts w:ascii="Times New Roman" w:eastAsia="Times New Roman" w:hAnsi="Times New Roman" w:cs="Times New Roman"/>
                <w:i/>
                <w:sz w:val="20"/>
                <w:szCs w:val="20"/>
                <w:lang w:eastAsia="en-AU"/>
              </w:rPr>
              <w:t xml:space="preserve"> </w:t>
            </w:r>
            <w:r w:rsidRPr="00661C99">
              <w:rPr>
                <w:rFonts w:ascii="Times New Roman" w:eastAsia="Times New Roman" w:hAnsi="Times New Roman" w:cs="Times New Roman"/>
                <w:sz w:val="20"/>
                <w:szCs w:val="20"/>
                <w:lang w:eastAsia="en-AU"/>
              </w:rPr>
              <w:t>and a</w:t>
            </w:r>
            <w:r w:rsidRPr="00661C99">
              <w:rPr>
                <w:rFonts w:ascii="Times New Roman" w:eastAsia="Times New Roman" w:hAnsi="Times New Roman" w:cs="Times New Roman"/>
                <w:i/>
                <w:sz w:val="20"/>
                <w:szCs w:val="20"/>
                <w:lang w:eastAsia="en-AU"/>
              </w:rPr>
              <w:t xml:space="preserve"> “thing that works” </w:t>
            </w:r>
            <w:r w:rsidRPr="00661C99">
              <w:rPr>
                <w:rFonts w:ascii="Times New Roman" w:eastAsia="Times New Roman" w:hAnsi="Times New Roman" w:cs="Times New Roman"/>
                <w:sz w:val="20"/>
                <w:szCs w:val="20"/>
                <w:lang w:eastAsia="en-AU"/>
              </w:rPr>
              <w:t>to promote Indigenous community functioning, 2013 p</w:t>
            </w:r>
            <w:r>
              <w:rPr>
                <w:rFonts w:ascii="Times New Roman" w:eastAsia="Times New Roman" w:hAnsi="Times New Roman" w:cs="Times New Roman"/>
                <w:sz w:val="20"/>
                <w:szCs w:val="20"/>
                <w:lang w:eastAsia="en-AU"/>
              </w:rPr>
              <w:t>.</w:t>
            </w:r>
            <w:r w:rsidRPr="00661C99">
              <w:rPr>
                <w:rFonts w:ascii="Times New Roman" w:eastAsia="Times New Roman" w:hAnsi="Times New Roman" w:cs="Times New Roman"/>
                <w:sz w:val="20"/>
                <w:szCs w:val="20"/>
                <w:lang w:eastAsia="en-AU"/>
              </w:rPr>
              <w:t>26; 2016 p</w:t>
            </w:r>
            <w:r>
              <w:rPr>
                <w:rFonts w:ascii="Times New Roman" w:eastAsia="Times New Roman" w:hAnsi="Times New Roman" w:cs="Times New Roman"/>
                <w:sz w:val="20"/>
                <w:szCs w:val="20"/>
                <w:lang w:eastAsia="en-AU"/>
              </w:rPr>
              <w:t>.</w:t>
            </w:r>
            <w:r w:rsidRPr="00661C99">
              <w:rPr>
                <w:rFonts w:ascii="Times New Roman" w:eastAsia="Times New Roman" w:hAnsi="Times New Roman" w:cs="Times New Roman"/>
                <w:sz w:val="20"/>
                <w:szCs w:val="20"/>
                <w:lang w:eastAsia="en-AU"/>
              </w:rPr>
              <w:t>3171.</w:t>
            </w:r>
          </w:p>
        </w:tc>
        <w:tc>
          <w:tcPr>
            <w:tcW w:w="1635" w:type="pct"/>
          </w:tcPr>
          <w:p w14:paraId="78F25024"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National recognition of FWB through research gave the program credibility in the eyes of potential user organisations</w:t>
            </w:r>
          </w:p>
        </w:tc>
      </w:tr>
      <w:tr w:rsidR="007B4F16" w:rsidRPr="00661C99" w14:paraId="14AED00B" w14:textId="77777777" w:rsidTr="00035AB3">
        <w:tc>
          <w:tcPr>
            <w:tcW w:w="336" w:type="pct"/>
          </w:tcPr>
          <w:p w14:paraId="35DBCB13" w14:textId="77777777" w:rsidR="007B4F16" w:rsidRPr="00661C99" w:rsidRDefault="007B4F16" w:rsidP="007B4F16">
            <w:pPr>
              <w:pStyle w:val="Default"/>
              <w:numPr>
                <w:ilvl w:val="0"/>
                <w:numId w:val="1"/>
              </w:numPr>
              <w:spacing w:before="120" w:after="240" w:line="480" w:lineRule="auto"/>
              <w:rPr>
                <w:rFonts w:ascii="Times New Roman" w:hAnsi="Times New Roman" w:cs="Times New Roman"/>
                <w:color w:val="auto"/>
                <w:sz w:val="20"/>
                <w:szCs w:val="20"/>
              </w:rPr>
            </w:pPr>
          </w:p>
        </w:tc>
        <w:tc>
          <w:tcPr>
            <w:tcW w:w="686" w:type="pct"/>
          </w:tcPr>
          <w:p w14:paraId="4C0A7411" w14:textId="0D68AC2A" w:rsidR="007B4F16" w:rsidRPr="00661C99" w:rsidRDefault="007B4F16" w:rsidP="0072154F">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 xml:space="preserve">McCalman, 2013; </w:t>
            </w:r>
            <w:r w:rsidR="001243F4">
              <w:rPr>
                <w:rFonts w:ascii="Times New Roman" w:hAnsi="Times New Roman" w:cs="Times New Roman"/>
                <w:color w:val="auto"/>
                <w:sz w:val="20"/>
                <w:szCs w:val="20"/>
              </w:rPr>
              <w:t xml:space="preserve">McCalman et al., </w:t>
            </w:r>
            <w:r w:rsidRPr="00661C99">
              <w:rPr>
                <w:rFonts w:ascii="Times New Roman" w:hAnsi="Times New Roman" w:cs="Times New Roman"/>
                <w:color w:val="auto"/>
                <w:sz w:val="20"/>
                <w:szCs w:val="20"/>
              </w:rPr>
              <w:t>2018</w:t>
            </w:r>
            <w:r w:rsidR="0072154F">
              <w:rPr>
                <w:rFonts w:ascii="Times New Roman" w:hAnsi="Times New Roman" w:cs="Times New Roman"/>
                <w:color w:val="auto"/>
                <w:sz w:val="20"/>
                <w:szCs w:val="20"/>
              </w:rPr>
              <w:t xml:space="preserve"> </w:t>
            </w:r>
            <w:r w:rsidR="0072154F">
              <w:rPr>
                <w:rFonts w:ascii="Times New Roman" w:hAnsi="Times New Roman" w:cs="Times New Roman"/>
                <w:color w:val="auto"/>
                <w:sz w:val="20"/>
                <w:szCs w:val="20"/>
              </w:rPr>
              <w:fldChar w:fldCharType="begin"/>
            </w:r>
            <w:r w:rsidR="004841DD">
              <w:rPr>
                <w:rFonts w:ascii="Times New Roman" w:hAnsi="Times New Roman" w:cs="Times New Roman"/>
                <w:color w:val="auto"/>
                <w:sz w:val="20"/>
                <w:szCs w:val="20"/>
              </w:rPr>
              <w:instrText xml:space="preserve"> ADDIN ZOTERO_ITEM CSL_CITATION {"citationID":"GAG5fk7i","properties":{"formattedCitation":"(14,15)","plainCitation":"(14,15)","noteIndex":0},"citationItems":[{"id":1261,"uris":["http://zotero.org/users/1370043/items/QATJHQFZ"],"uri":["http://zotero.org/users/1370043/items/QATJHQFZ"],"itemData":{"id":1261,"type":"article-journal","abstract":"BACKGROUND: The concepts and standard practices of implementation, largely originating in developed countries, cannot necessarily be simply transferred into diverse cultural contexts. There has been relative inattention in the implementation science literature paid to the implementation of interventions targeting minority Indigenous populations within developed countries. This suggests that the implementation literature may be bypassing population groups within developed countries who suffer some of the greatest disadvantage. Within the context of Aboriginal Australian health improvement, this study considers the impact of political and cultural issues by examining the transfer and implementation of the Family Wellbeing program across 56 places over a 20-year period.\nMETHODS: A theoretical model of program transfer was developed using constructivist-grounded theory methods. Data were generated by conducting in-depth interviews with 18 Aboriginal and non-Aboriginal research respondents who had been active in transferring the program. Data were categorised into higher order abstract concepts and the core impetus for and process of program transfer were identified.\nRESULTS: Organizations transferred the program by using it as a vehicle for supporting inside-out empowerment. The impetus to support inside-out empowerment referred to support for Aboriginal people's participation, responsibility for and control of their own affairs, and the associated ripple effects to family members, organizations, communities, and ultimately reconciliation with Australian society at large. Program transfer occurred through a multi-levelled process of embracing relatedness which included relatedness with self, others, and structural conditions; all three were necessary at both individual and organizational levels.\nCONCLUSIONS: Similar to international implementation models, the model of supporting inside-out empowerment by embracing relatedness involved individuals, organizations, and interpersonal and inter-organizational networks. However, the model suggests that for minority Indigenous populations within developed countries, implementation approaches may require greater attention to the empowering nature of the intervention and its implementation, and multiple levels of relatedness by individuals and organizations with self, others, and the structural conditions. Key elements of the theoretical model provide a useful blueprint to inform the transfer of other empowerment programs to minority Indigenous and other disadvantaged populations on a case-by-case basis.","container-title":"Implementation science","DOI":"10.1186/1748-5908-8-129","ISSN":"1748-5908","journalAbbreviation":"Implement Sci","language":"eng","note":"PMID: 24171867\nPMCID: PMC3817066","page":"129","source":"PubMed","title":"The transfer and implementation of an Aboriginal Australian wellbeing program: a grounded theory study","title-short":"The transfer and implementation of an Aboriginal Australian wellbeing program","volume":"8","author":[{"family":"McCalman","given":"Janya"}],"issued":{"date-parts":[["2013",10,31]]}}},{"id":1262,"uris":["http://zotero.org/users/1370043/items/3WUEBDVB"],"uri":["http://zotero.org/users/1370043/items/3WUEBDVB"],"itemData":{"id":1262,"type":"article-journal","abstract":"INTRODUCTION: Spreading proven or promising Aboriginal health programs and implementing them in new settings can make cost-effective contributions to a range of Aboriginal Australian development, health and wellbeing, and educational outcomes. Studies have theorized the implementation of Aboriginal health programs but have not focused explicitly on the conditions that influenced their spread. This study examined the broader political, institutional, social and economic conditions that influenced negotiations to transfer, implement, adapt, and sustain one Aboriginal empowerment program-the Family Wellbeing (FWB) program-to at least 60 geographical sites across Australia over 24 years. MATERIALS AND METHODS: A historical account of the spread of the FWB Program was constructed using situational analysis, a theory-methods package derived from a poststructural interpretation of grounded theory methods. Data were collected from published empirical articles, evaluation reports and project articles, and interviews with 18 key actors in the spread of FWB. Social worlds and arenas maps were used to determine the organizations and their representative agents who were involved in FWB spread and to analyze the enabling and constraining conditions. RESULTS: The program was transferred through three interwoven social arenas: employment and community development; training and capacity development; and social and emotional wellbeing promotion and empowerment research. Program spread was fostered by three primary conditions: government policies and the availability and Aboriginal control of funding and support; Aboriginal leadership, associated informal networks and capability; and research evidence that built credibility for the program. DISCUSSION AND CONCLUSION: The continued demand-driven transfer of empowerment programs requires policies that enable Aboriginal control of funding and Aboriginal leadership and networks. Flexible and sustained coordination of program delivery is best leveraged through regional innovation hubs that can work with partner organizations to tailor the program to local end-user needs. Associated research is also needed to evaluate, continually improve program quality, and build program credibility through evidence.","archive":"PubMed","archive_location":"29546037","container-title":"Frontiers in public health","DOI":"10.3389/fpubh.2018.00026","ISSN":"2296-2565","journalAbbreviation":"Front Public Health","language":"eng","note":"publisher: Frontiers Media S.A.","page":"26-26","title":"The Aboriginal Australian Family Wellbeing program: A historical analysis of the conditions that enabled its spread","volume":"6","author":[{"family":"McCalman","given":"Janya"},{"family":"Bainbridge","given":"Roxanne"},{"family":"Brown","given":"Catherine"},{"family":"Tsey","given":"Komla"},{"family":"Clarke","given":"Adele"}],"issued":{"date-parts":[["2018",3,1]]}}}],"schema":"https://github.com/citation-style-language/schema/raw/master/csl-citation.json"} </w:instrText>
            </w:r>
            <w:r w:rsidR="0072154F">
              <w:rPr>
                <w:rFonts w:ascii="Times New Roman" w:hAnsi="Times New Roman" w:cs="Times New Roman"/>
                <w:color w:val="auto"/>
                <w:sz w:val="20"/>
                <w:szCs w:val="20"/>
              </w:rPr>
              <w:fldChar w:fldCharType="separate"/>
            </w:r>
            <w:r w:rsidR="001243F4" w:rsidRPr="001243F4">
              <w:rPr>
                <w:rFonts w:ascii="Times New Roman" w:hAnsi="Times New Roman" w:cs="Times New Roman"/>
                <w:sz w:val="20"/>
              </w:rPr>
              <w:t>(14,15)</w:t>
            </w:r>
            <w:r w:rsidR="0072154F">
              <w:rPr>
                <w:rFonts w:ascii="Times New Roman" w:hAnsi="Times New Roman" w:cs="Times New Roman"/>
                <w:color w:val="auto"/>
                <w:sz w:val="20"/>
                <w:szCs w:val="20"/>
              </w:rPr>
              <w:fldChar w:fldCharType="end"/>
            </w:r>
          </w:p>
        </w:tc>
        <w:tc>
          <w:tcPr>
            <w:tcW w:w="839" w:type="pct"/>
          </w:tcPr>
          <w:p w14:paraId="48138AB0"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 xml:space="preserve">A theoretical model of program transfer based on interviews with 18 </w:t>
            </w:r>
            <w:r w:rsidRPr="00661C99">
              <w:rPr>
                <w:rFonts w:ascii="Times New Roman" w:hAnsi="Times New Roman" w:cs="Times New Roman"/>
                <w:color w:val="auto"/>
                <w:sz w:val="20"/>
                <w:szCs w:val="20"/>
              </w:rPr>
              <w:lastRenderedPageBreak/>
              <w:t>Aboriginal and non-Aboriginal research respondents who had been active in transferring the program.</w:t>
            </w:r>
          </w:p>
          <w:p w14:paraId="30BC6BF6"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A historical analysis of the conditions that enabled the spread of FWB to at least 60 geographical sites across Australia over 24 years</w:t>
            </w:r>
          </w:p>
        </w:tc>
        <w:tc>
          <w:tcPr>
            <w:tcW w:w="1505" w:type="pct"/>
          </w:tcPr>
          <w:p w14:paraId="47869708"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Organis</w:t>
            </w:r>
            <w:r w:rsidRPr="00661C99">
              <w:rPr>
                <w:rFonts w:ascii="Times New Roman" w:hAnsi="Times New Roman" w:cs="Times New Roman"/>
                <w:color w:val="auto"/>
                <w:sz w:val="20"/>
                <w:szCs w:val="20"/>
              </w:rPr>
              <w:t>ations transferred the program by using it as a vehicle for supporting inside-out empowerment.</w:t>
            </w:r>
          </w:p>
          <w:p w14:paraId="115CDF82"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lastRenderedPageBreak/>
              <w:t>The research evidence from FWB empowerment interventions build credibility for the program and played a key role in the transfer and spread of the program.</w:t>
            </w:r>
          </w:p>
          <w:p w14:paraId="32F72A49"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p>
        </w:tc>
        <w:tc>
          <w:tcPr>
            <w:tcW w:w="1635" w:type="pct"/>
          </w:tcPr>
          <w:p w14:paraId="4F1E04DD"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lastRenderedPageBreak/>
              <w:t xml:space="preserve">Program transfer occurred through a multi-levelled process of embracing relatedness which included relatedness with self, others, and structural </w:t>
            </w:r>
            <w:r w:rsidRPr="00661C99">
              <w:rPr>
                <w:rFonts w:ascii="Times New Roman" w:hAnsi="Times New Roman" w:cs="Times New Roman"/>
                <w:color w:val="auto"/>
                <w:sz w:val="20"/>
                <w:szCs w:val="20"/>
              </w:rPr>
              <w:lastRenderedPageBreak/>
              <w:t>conditions; all three were necessar</w:t>
            </w:r>
            <w:r>
              <w:rPr>
                <w:rFonts w:ascii="Times New Roman" w:hAnsi="Times New Roman" w:cs="Times New Roman"/>
                <w:color w:val="auto"/>
                <w:sz w:val="20"/>
                <w:szCs w:val="20"/>
              </w:rPr>
              <w:t>y at both individual and organis</w:t>
            </w:r>
            <w:r w:rsidRPr="00661C99">
              <w:rPr>
                <w:rFonts w:ascii="Times New Roman" w:hAnsi="Times New Roman" w:cs="Times New Roman"/>
                <w:color w:val="auto"/>
                <w:sz w:val="20"/>
                <w:szCs w:val="20"/>
              </w:rPr>
              <w:t>ational levels.</w:t>
            </w:r>
          </w:p>
          <w:p w14:paraId="4DAD8407"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Program spread was influenced by a range of factors including the fact that the program was Aboriginal-developed; government policies; availability of funding and support; Aboriginal leadership including facilitator capability; informal support networks; and research evidence.</w:t>
            </w:r>
          </w:p>
        </w:tc>
      </w:tr>
      <w:tr w:rsidR="007B4F16" w:rsidRPr="00661C99" w14:paraId="6E391E0E" w14:textId="77777777" w:rsidTr="00035AB3">
        <w:tc>
          <w:tcPr>
            <w:tcW w:w="336" w:type="pct"/>
          </w:tcPr>
          <w:p w14:paraId="11700520" w14:textId="77777777" w:rsidR="007B4F16" w:rsidRPr="00661C99" w:rsidRDefault="007B4F16" w:rsidP="007B4F16">
            <w:pPr>
              <w:pStyle w:val="Default"/>
              <w:numPr>
                <w:ilvl w:val="0"/>
                <w:numId w:val="1"/>
              </w:numPr>
              <w:spacing w:before="120" w:after="240" w:line="480" w:lineRule="auto"/>
              <w:rPr>
                <w:rFonts w:ascii="Times New Roman" w:hAnsi="Times New Roman" w:cs="Times New Roman"/>
                <w:color w:val="auto"/>
                <w:sz w:val="20"/>
                <w:szCs w:val="20"/>
              </w:rPr>
            </w:pPr>
          </w:p>
        </w:tc>
        <w:tc>
          <w:tcPr>
            <w:tcW w:w="686" w:type="pct"/>
          </w:tcPr>
          <w:p w14:paraId="118148E9" w14:textId="0E8533AC"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Whiteside et al</w:t>
            </w:r>
            <w:r>
              <w:rPr>
                <w:rFonts w:ascii="Times New Roman" w:hAnsi="Times New Roman" w:cs="Times New Roman"/>
                <w:color w:val="auto"/>
                <w:sz w:val="20"/>
                <w:szCs w:val="20"/>
              </w:rPr>
              <w:t>.,</w:t>
            </w:r>
            <w:r w:rsidR="001243F4">
              <w:rPr>
                <w:rFonts w:ascii="Times New Roman" w:hAnsi="Times New Roman" w:cs="Times New Roman"/>
                <w:color w:val="auto"/>
                <w:sz w:val="20"/>
                <w:szCs w:val="20"/>
              </w:rPr>
              <w:t xml:space="preserve"> 2021 </w:t>
            </w:r>
            <w:r w:rsidR="001243F4">
              <w:rPr>
                <w:rFonts w:ascii="Times New Roman" w:hAnsi="Times New Roman" w:cs="Times New Roman"/>
                <w:color w:val="auto"/>
                <w:sz w:val="20"/>
                <w:szCs w:val="20"/>
              </w:rPr>
              <w:fldChar w:fldCharType="begin"/>
            </w:r>
            <w:r w:rsidR="004841DD">
              <w:rPr>
                <w:rFonts w:ascii="Times New Roman" w:hAnsi="Times New Roman" w:cs="Times New Roman"/>
                <w:color w:val="auto"/>
                <w:sz w:val="20"/>
                <w:szCs w:val="20"/>
              </w:rPr>
              <w:instrText xml:space="preserve"> ADDIN ZOTERO_ITEM CSL_CITATION {"citationID":"GbAszoZC","properties":{"formattedCitation":"(16)","plainCitation":"(16)","noteIndex":0},"citationItems":[{"id":2582,"uris":["http://zotero.org/users/1370043/items/8RPF54S8"],"uri":["http://zotero.org/users/1370043/items/8RPF54S8"],"itemData":{"id":2582,"type":"article-journal","abstract":"“Demonstration of impact” is now a key measure of research value. Within and beyond social work, researchers are looking for guidance on how to best demonstrate this. To provide an example, this paper reports on a case study of the impact of a collaborative project conducted by a university and an Aboriginal community organisation in regional Victoria, the aim of which was to promote community wellbeing. The paper presents the case study within the Australian Research Council’s impact framework; it is also informed by the ethical research principles of the Lowitja Institute for Aboriginal and Torres Strait Islander Health Research. Some of the challenges associated with documenting more complex and participatory forms of social research are highlighted, including identifying the primary research and differentiating knowledge translation from impact. IMPLICATIONSAs a practice-based discipline social work is well placed to benefit from the new emphasis on research impact.There is a need for methods and frameworks to guide researchers to effectively capture impact.Aboriginal and Torres Strait Islander ethical principles for research are imperative for research impact in this context.","container-title":"Australian Social Work","DOI":"10.1080/0312407X.2020.1862264","ISSN":"0312-407X","issue":"0","note":"publisher: Routledge\n_eprint: https://doi.org/10.1080/0312407X.2020.1862264","page":"1-12","source":"Taylor and Francis+NEJM","title":"Capturing research impact: The case study of a community wellbeing research partnership","title-short":"Capturing Research Impact","volume":"0","author":[{"family":"Whiteside","given":"Mary"},{"family":"Thomas","given":"Darlene"},{"family":"Griffin","given":"Tiffany"},{"family":"Stephens","given":"Raelene"},{"family":"Maltzahn","given":"Kathleen"},{"family":"Tsey","given":"Komla"},{"family":"MacLean","given":"Sarah"}],"issued":{"date-parts":[["2021",3,17]]}}}],"schema":"https://github.com/citation-style-language/schema/raw/master/csl-citation.json"} </w:instrText>
            </w:r>
            <w:r w:rsidR="001243F4">
              <w:rPr>
                <w:rFonts w:ascii="Times New Roman" w:hAnsi="Times New Roman" w:cs="Times New Roman"/>
                <w:color w:val="auto"/>
                <w:sz w:val="20"/>
                <w:szCs w:val="20"/>
              </w:rPr>
              <w:fldChar w:fldCharType="separate"/>
            </w:r>
            <w:r w:rsidR="001243F4" w:rsidRPr="001243F4">
              <w:rPr>
                <w:rFonts w:ascii="Times New Roman" w:hAnsi="Times New Roman" w:cs="Times New Roman"/>
                <w:sz w:val="20"/>
              </w:rPr>
              <w:t>(16)</w:t>
            </w:r>
            <w:r w:rsidR="001243F4">
              <w:rPr>
                <w:rFonts w:ascii="Times New Roman" w:hAnsi="Times New Roman" w:cs="Times New Roman"/>
                <w:color w:val="auto"/>
                <w:sz w:val="20"/>
                <w:szCs w:val="20"/>
              </w:rPr>
              <w:fldChar w:fldCharType="end"/>
            </w:r>
          </w:p>
        </w:tc>
        <w:tc>
          <w:tcPr>
            <w:tcW w:w="839" w:type="pct"/>
          </w:tcPr>
          <w:p w14:paraId="27D6D389"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 xml:space="preserve">A pilot FWB research impact case study based on the Australian Research Council impact framework, Mildura, </w:t>
            </w:r>
            <w:r w:rsidRPr="00661C99">
              <w:rPr>
                <w:rFonts w:ascii="Times New Roman" w:hAnsi="Times New Roman" w:cs="Times New Roman"/>
                <w:color w:val="auto"/>
                <w:sz w:val="20"/>
                <w:szCs w:val="20"/>
              </w:rPr>
              <w:lastRenderedPageBreak/>
              <w:t>country Victoria</w:t>
            </w:r>
            <w:r>
              <w:rPr>
                <w:rFonts w:ascii="Times New Roman" w:hAnsi="Times New Roman" w:cs="Times New Roman"/>
                <w:color w:val="auto"/>
                <w:sz w:val="20"/>
                <w:szCs w:val="20"/>
              </w:rPr>
              <w:t>,</w:t>
            </w:r>
            <w:r w:rsidRPr="00661C99">
              <w:rPr>
                <w:rFonts w:ascii="Times New Roman" w:hAnsi="Times New Roman" w:cs="Times New Roman"/>
                <w:color w:val="auto"/>
                <w:sz w:val="20"/>
                <w:szCs w:val="20"/>
              </w:rPr>
              <w:t xml:space="preserve"> 2016-2019. </w:t>
            </w:r>
          </w:p>
        </w:tc>
        <w:tc>
          <w:tcPr>
            <w:tcW w:w="1505" w:type="pct"/>
          </w:tcPr>
          <w:p w14:paraId="777DEDC8" w14:textId="77777777" w:rsidR="007B4F16" w:rsidRPr="00661C99" w:rsidRDefault="007B4F16" w:rsidP="007B4F16">
            <w:pPr>
              <w:autoSpaceDE w:val="0"/>
              <w:autoSpaceDN w:val="0"/>
              <w:adjustRightInd w:val="0"/>
              <w:spacing w:line="480" w:lineRule="auto"/>
              <w:rPr>
                <w:sz w:val="20"/>
                <w:szCs w:val="20"/>
              </w:rPr>
            </w:pPr>
            <w:r w:rsidRPr="00661C99">
              <w:rPr>
                <w:sz w:val="20"/>
                <w:szCs w:val="20"/>
              </w:rPr>
              <w:lastRenderedPageBreak/>
              <w:t xml:space="preserve">Research by Mallee District Aboriginal Services (MDAS) and Melbourne University alcohol researchers into methamphetamines or ice use in regional Victoria recommended a need for an appropriate family support program to build the capacity of workers and families to better support </w:t>
            </w:r>
            <w:r w:rsidRPr="00661C99">
              <w:rPr>
                <w:sz w:val="20"/>
                <w:szCs w:val="20"/>
              </w:rPr>
              <w:lastRenderedPageBreak/>
              <w:t xml:space="preserve">people </w:t>
            </w:r>
            <w:r>
              <w:rPr>
                <w:sz w:val="20"/>
                <w:szCs w:val="20"/>
              </w:rPr>
              <w:t xml:space="preserve">to </w:t>
            </w:r>
            <w:r w:rsidRPr="00661C99">
              <w:rPr>
                <w:sz w:val="20"/>
                <w:szCs w:val="20"/>
              </w:rPr>
              <w:t>recover from ice use. The lead alcohol researcher happened to be a colleague of FWB researcher Mary Whiteside and hence was familiar with FWB which she considered potentially a ‘good fit’ Indigenous family support program. The alcohol researcher collected information on FWB fro</w:t>
            </w:r>
            <w:r>
              <w:rPr>
                <w:sz w:val="20"/>
                <w:szCs w:val="20"/>
              </w:rPr>
              <w:t>m Mary which she passed on to MDAS. In response, M</w:t>
            </w:r>
            <w:r w:rsidRPr="00661C99">
              <w:rPr>
                <w:sz w:val="20"/>
                <w:szCs w:val="20"/>
              </w:rPr>
              <w:t>DAS managers invited Mary to pilot FWB with workers resulting</w:t>
            </w:r>
            <w:r>
              <w:rPr>
                <w:sz w:val="20"/>
                <w:szCs w:val="20"/>
              </w:rPr>
              <w:t>,</w:t>
            </w:r>
            <w:r w:rsidRPr="00661C99">
              <w:rPr>
                <w:sz w:val="20"/>
                <w:szCs w:val="20"/>
              </w:rPr>
              <w:t xml:space="preserve"> after two years </w:t>
            </w:r>
            <w:r>
              <w:rPr>
                <w:sz w:val="20"/>
                <w:szCs w:val="20"/>
              </w:rPr>
              <w:t xml:space="preserve">of </w:t>
            </w:r>
            <w:r w:rsidRPr="00661C99">
              <w:rPr>
                <w:sz w:val="20"/>
                <w:szCs w:val="20"/>
              </w:rPr>
              <w:t>collaborative work</w:t>
            </w:r>
            <w:r>
              <w:rPr>
                <w:sz w:val="20"/>
                <w:szCs w:val="20"/>
              </w:rPr>
              <w:t>, in an eventual decision by M</w:t>
            </w:r>
            <w:r w:rsidRPr="00661C99">
              <w:rPr>
                <w:sz w:val="20"/>
                <w:szCs w:val="20"/>
              </w:rPr>
              <w:t>DAS to integrate FW</w:t>
            </w:r>
            <w:r>
              <w:rPr>
                <w:sz w:val="20"/>
                <w:szCs w:val="20"/>
              </w:rPr>
              <w:t xml:space="preserve">B as a whole of service model. </w:t>
            </w:r>
          </w:p>
        </w:tc>
        <w:tc>
          <w:tcPr>
            <w:tcW w:w="1635" w:type="pct"/>
          </w:tcPr>
          <w:p w14:paraId="351808A5" w14:textId="77777777" w:rsidR="007B4F16" w:rsidRPr="00661C99" w:rsidRDefault="007B4F16" w:rsidP="00035AB3">
            <w:pPr>
              <w:pStyle w:val="Default"/>
              <w:spacing w:before="120" w:after="24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lastRenderedPageBreak/>
              <w:t xml:space="preserve">Examples of services that integrated FWB included MDAS early years family support service; gambling harm prevention program; justice rehabilitation centre; child friendly school activities; youth mental </w:t>
            </w:r>
            <w:r w:rsidRPr="00661C99">
              <w:rPr>
                <w:rFonts w:ascii="Times New Roman" w:hAnsi="Times New Roman" w:cs="Times New Roman"/>
                <w:color w:val="auto"/>
                <w:sz w:val="20"/>
                <w:szCs w:val="20"/>
              </w:rPr>
              <w:lastRenderedPageBreak/>
              <w:t xml:space="preserve">health strategy; and the Koori women’s diversion program. </w:t>
            </w:r>
          </w:p>
          <w:p w14:paraId="7610667F" w14:textId="77777777" w:rsidR="007B4F16" w:rsidRPr="00661C99" w:rsidRDefault="007B4F16" w:rsidP="00741F3C">
            <w:pPr>
              <w:pStyle w:val="Default"/>
              <w:spacing w:before="120" w:line="480" w:lineRule="auto"/>
              <w:rPr>
                <w:rFonts w:ascii="Times New Roman" w:hAnsi="Times New Roman" w:cs="Times New Roman"/>
                <w:color w:val="auto"/>
                <w:sz w:val="20"/>
                <w:szCs w:val="20"/>
              </w:rPr>
            </w:pPr>
            <w:r w:rsidRPr="00661C99">
              <w:rPr>
                <w:rFonts w:ascii="Times New Roman" w:hAnsi="Times New Roman" w:cs="Times New Roman"/>
                <w:color w:val="auto"/>
                <w:sz w:val="20"/>
                <w:szCs w:val="20"/>
              </w:rPr>
              <w:t>Capturing research impact is important but it can be complex. Social research is rarely mechanistic, and more often complicated and messy with multiple strands and partners. This is more so in the case of intervention research. Where does knowledge translation and research impact begin and end? Did impact commence with the start of the Family Wellbeing pilot study? Or when the user organisation had taken ownership of the process and integrated it as their whole-of-service practice framework? The study recommended more work to develop the methods and frameworks required for social researchers to effectively capture impact.</w:t>
            </w:r>
          </w:p>
        </w:tc>
      </w:tr>
    </w:tbl>
    <w:p w14:paraId="5A8F3C9E" w14:textId="77777777" w:rsidR="00741F3C" w:rsidRDefault="00741F3C" w:rsidP="007B4F16">
      <w:pPr>
        <w:sectPr w:rsidR="00741F3C" w:rsidSect="007B4F16">
          <w:pgSz w:w="16838" w:h="11906" w:orient="landscape"/>
          <w:pgMar w:top="1440" w:right="1440" w:bottom="1440" w:left="1440" w:header="708" w:footer="708" w:gutter="0"/>
          <w:cols w:space="708"/>
          <w:docGrid w:linePitch="360"/>
        </w:sectPr>
      </w:pPr>
    </w:p>
    <w:p w14:paraId="2042EC1C" w14:textId="400337CF" w:rsidR="004C0980" w:rsidRDefault="00741F3C" w:rsidP="00741F3C">
      <w:pPr>
        <w:pStyle w:val="Heading2"/>
      </w:pPr>
      <w:r>
        <w:lastRenderedPageBreak/>
        <w:t>References</w:t>
      </w:r>
    </w:p>
    <w:bookmarkStart w:id="0" w:name="_GoBack"/>
    <w:bookmarkEnd w:id="0"/>
    <w:p w14:paraId="7F602000" w14:textId="77777777" w:rsidR="004841DD" w:rsidRPr="004841DD" w:rsidRDefault="00511957" w:rsidP="004841DD">
      <w:pPr>
        <w:pStyle w:val="Bibliography"/>
        <w:tabs>
          <w:tab w:val="left" w:pos="384"/>
        </w:tabs>
        <w:spacing w:after="240" w:line="480" w:lineRule="auto"/>
        <w:ind w:left="384" w:hanging="384"/>
      </w:pPr>
      <w:r>
        <w:fldChar w:fldCharType="begin"/>
      </w:r>
      <w:r w:rsidR="004841DD">
        <w:instrText xml:space="preserve"> ADDIN ZOTERO_BIBL {"uncited":[],"omitted":[],"custom":[]} CSL_BIBLIOGRAPHY </w:instrText>
      </w:r>
      <w:r>
        <w:fldChar w:fldCharType="separate"/>
      </w:r>
      <w:r w:rsidR="004841DD" w:rsidRPr="004841DD">
        <w:t xml:space="preserve">1. </w:t>
      </w:r>
      <w:r w:rsidR="004841DD" w:rsidRPr="004841DD">
        <w:tab/>
        <w:t>Australian Human Rights Commission. Social Justice Report 2011 [Internet]. 2011. Available from: https://humanrights.gov.au/sites/ default/files/content/social_justice/sj_report/sjreport11/pdf/sjr2011.pdf</w:t>
      </w:r>
    </w:p>
    <w:p w14:paraId="25B8A693" w14:textId="77777777" w:rsidR="004841DD" w:rsidRPr="004841DD" w:rsidRDefault="004841DD" w:rsidP="004841DD">
      <w:pPr>
        <w:pStyle w:val="Bibliography"/>
        <w:tabs>
          <w:tab w:val="left" w:pos="384"/>
        </w:tabs>
        <w:spacing w:after="240" w:line="480" w:lineRule="auto"/>
        <w:ind w:left="384" w:hanging="384"/>
      </w:pPr>
      <w:r w:rsidRPr="004841DD">
        <w:t xml:space="preserve">2. </w:t>
      </w:r>
      <w:r w:rsidRPr="004841DD">
        <w:tab/>
        <w:t>McEwan A, Tsey K. The role of spirituality in social and emotional wellbeing initiatives: The Family Wellbeing Program at Yarrabah [Internet]. 2009. (Cooperative Research Centre for Aboriginal Health Discussion Paper No 7). Available from: https://www.lowitja.org.au/page/services/resources/family-and-community-health/families/role-of-spirituality-in-social-and-emotional-wellbeing</w:t>
      </w:r>
    </w:p>
    <w:p w14:paraId="37DB1192" w14:textId="77777777" w:rsidR="004841DD" w:rsidRPr="004841DD" w:rsidRDefault="004841DD" w:rsidP="004841DD">
      <w:pPr>
        <w:pStyle w:val="Bibliography"/>
        <w:tabs>
          <w:tab w:val="left" w:pos="384"/>
        </w:tabs>
        <w:spacing w:after="240" w:line="480" w:lineRule="auto"/>
        <w:ind w:left="384" w:hanging="384"/>
      </w:pPr>
      <w:r w:rsidRPr="004841DD">
        <w:t xml:space="preserve">3. </w:t>
      </w:r>
      <w:r w:rsidRPr="004841DD">
        <w:tab/>
        <w:t xml:space="preserve">Tsey K, Whiteside M, Haswell-Elkins M, Bainbridge R, Cadet-James Y, Wilson A. Empowerment and Indigenous Australian health: A synthesis of findings from Family Wellbeing formative research. Health Soc Care Community. 2009;18(2):169–79. </w:t>
      </w:r>
    </w:p>
    <w:p w14:paraId="6A3DE268" w14:textId="77777777" w:rsidR="004841DD" w:rsidRPr="004841DD" w:rsidRDefault="004841DD" w:rsidP="004841DD">
      <w:pPr>
        <w:pStyle w:val="Bibliography"/>
        <w:tabs>
          <w:tab w:val="left" w:pos="384"/>
        </w:tabs>
        <w:spacing w:after="240" w:line="480" w:lineRule="auto"/>
        <w:ind w:left="384" w:hanging="384"/>
      </w:pPr>
      <w:r w:rsidRPr="004841DD">
        <w:t xml:space="preserve">4. </w:t>
      </w:r>
      <w:r w:rsidRPr="004841DD">
        <w:tab/>
        <w:t xml:space="preserve">Tsey K, Whiteside M, Deemal A, Gibson T. Social Determinants of Health, the ‘Control Factor’ and the Family Wellbeing Empowerment Program. Australas Psychiatry. 2003 Oct 1;11(1_suppl):S34–9. </w:t>
      </w:r>
    </w:p>
    <w:p w14:paraId="63239DD9" w14:textId="77777777" w:rsidR="004841DD" w:rsidRPr="004841DD" w:rsidRDefault="004841DD" w:rsidP="004841DD">
      <w:pPr>
        <w:pStyle w:val="Bibliography"/>
        <w:tabs>
          <w:tab w:val="left" w:pos="384"/>
        </w:tabs>
        <w:spacing w:after="240" w:line="480" w:lineRule="auto"/>
        <w:ind w:left="384" w:hanging="384"/>
      </w:pPr>
      <w:r w:rsidRPr="004841DD">
        <w:t xml:space="preserve">5. </w:t>
      </w:r>
      <w:r w:rsidRPr="004841DD">
        <w:tab/>
        <w:t xml:space="preserve">Whiteside M, Tsey K, McCalman J, Cadet-James Y, Wilson A. Empowerment as a framework for Indigenous workforce development and rrganisational change. null. 2006 Dec 1;59(4):422–34. </w:t>
      </w:r>
    </w:p>
    <w:p w14:paraId="686B8783" w14:textId="77777777" w:rsidR="004841DD" w:rsidRPr="004841DD" w:rsidRDefault="004841DD" w:rsidP="004841DD">
      <w:pPr>
        <w:pStyle w:val="Bibliography"/>
        <w:tabs>
          <w:tab w:val="left" w:pos="384"/>
        </w:tabs>
        <w:spacing w:after="240" w:line="480" w:lineRule="auto"/>
        <w:ind w:left="384" w:hanging="384"/>
      </w:pPr>
      <w:r w:rsidRPr="004841DD">
        <w:t xml:space="preserve">6. </w:t>
      </w:r>
      <w:r w:rsidRPr="004841DD">
        <w:tab/>
        <w:t>Baird L. The solution to Indigenous suicide crises lies in listening to Aboriginal people. Overland [Internet]. 2019 Jun 24 [cited 2020 May 11]; Available from: https://overland.org.au/2019/06/the-solution-to-indigenous-suicide-crises-lies-in-listening-to-aboriginal-people/</w:t>
      </w:r>
    </w:p>
    <w:p w14:paraId="003AAC32" w14:textId="77777777" w:rsidR="004841DD" w:rsidRPr="004841DD" w:rsidRDefault="004841DD" w:rsidP="004841DD">
      <w:pPr>
        <w:pStyle w:val="Bibliography"/>
        <w:tabs>
          <w:tab w:val="left" w:pos="384"/>
        </w:tabs>
        <w:spacing w:after="240" w:line="480" w:lineRule="auto"/>
        <w:ind w:left="384" w:hanging="384"/>
      </w:pPr>
      <w:r w:rsidRPr="004841DD">
        <w:t xml:space="preserve">7. </w:t>
      </w:r>
      <w:r w:rsidRPr="004841DD">
        <w:tab/>
        <w:t>Moylan R, Drew V. It’s not about reinventing the wheel, it’s about making the wheel turn. Family Wellbeing newsletter [Internet]. 2017;(3). Available from: https://www.cairnsinstitute.jcu.edu.au/fwb-newsletter/</w:t>
      </w:r>
    </w:p>
    <w:p w14:paraId="65ECBA73" w14:textId="77777777" w:rsidR="004841DD" w:rsidRPr="004841DD" w:rsidRDefault="004841DD" w:rsidP="004841DD">
      <w:pPr>
        <w:pStyle w:val="Bibliography"/>
        <w:tabs>
          <w:tab w:val="left" w:pos="384"/>
        </w:tabs>
        <w:spacing w:after="240" w:line="480" w:lineRule="auto"/>
        <w:ind w:left="384" w:hanging="384"/>
      </w:pPr>
      <w:r w:rsidRPr="004841DD">
        <w:t xml:space="preserve">8. </w:t>
      </w:r>
      <w:r w:rsidRPr="004841DD">
        <w:tab/>
        <w:t>Gabriel Z. Family Wellbeing, Central Coast NSW… the story so far. Family Wellbeing newsletter [Internet]. 2017;(3). Available from: https://www.cairnsinstitute.jcu.edu.au/fwb-newsletter/</w:t>
      </w:r>
    </w:p>
    <w:p w14:paraId="45B9C823" w14:textId="77777777" w:rsidR="004841DD" w:rsidRPr="004841DD" w:rsidRDefault="004841DD" w:rsidP="004841DD">
      <w:pPr>
        <w:pStyle w:val="Bibliography"/>
        <w:tabs>
          <w:tab w:val="left" w:pos="384"/>
        </w:tabs>
        <w:spacing w:after="240" w:line="480" w:lineRule="auto"/>
        <w:ind w:left="384" w:hanging="384"/>
      </w:pPr>
      <w:r w:rsidRPr="004841DD">
        <w:t xml:space="preserve">9. </w:t>
      </w:r>
      <w:r w:rsidRPr="004841DD">
        <w:tab/>
        <w:t xml:space="preserve">Tsey K, Every A. Evaluating Aboriginal empowerment programs: the case of Family WellBeing. Australian and New Zealand Journal of Public Health. 2000;24(5):509–14. </w:t>
      </w:r>
    </w:p>
    <w:p w14:paraId="033FC055" w14:textId="77777777" w:rsidR="004841DD" w:rsidRPr="004841DD" w:rsidRDefault="004841DD" w:rsidP="004841DD">
      <w:pPr>
        <w:pStyle w:val="Bibliography"/>
        <w:tabs>
          <w:tab w:val="left" w:pos="384"/>
        </w:tabs>
        <w:spacing w:after="240" w:line="480" w:lineRule="auto"/>
        <w:ind w:left="384" w:hanging="384"/>
      </w:pPr>
      <w:r w:rsidRPr="004841DD">
        <w:t xml:space="preserve">10. </w:t>
      </w:r>
      <w:r w:rsidRPr="004841DD">
        <w:tab/>
        <w:t xml:space="preserve">Whiteside M, Klieve H, Millgate N, Webb B, Gabriel Z, McPherson L, et al. Connecting and strengthening young Aboriginal men: A Family Wellbeing pilot study. Australian Social Work. 2016 Apr 2;69(2):241–52. </w:t>
      </w:r>
    </w:p>
    <w:p w14:paraId="3FC239A5" w14:textId="77777777" w:rsidR="004841DD" w:rsidRPr="004841DD" w:rsidRDefault="004841DD" w:rsidP="004841DD">
      <w:pPr>
        <w:pStyle w:val="Bibliography"/>
        <w:tabs>
          <w:tab w:val="left" w:pos="384"/>
        </w:tabs>
        <w:spacing w:after="240" w:line="480" w:lineRule="auto"/>
        <w:ind w:left="384" w:hanging="384"/>
      </w:pPr>
      <w:r w:rsidRPr="004841DD">
        <w:t xml:space="preserve">11. </w:t>
      </w:r>
      <w:r w:rsidRPr="004841DD">
        <w:tab/>
        <w:t>Klieve H, Cheer K, Whiteside M, Baird L, MacLean S, Tsey K. “A safe haven to support me”: An evaluation report on the Central Coast Family Wellbeing program [Internet]. Cairns, Queensland: Cairns Institute; 2019 [cited 2020 Aug 19]. Available from: https://researchonline.jcu.edu.au/59155/</w:t>
      </w:r>
    </w:p>
    <w:p w14:paraId="192A54B3" w14:textId="77777777" w:rsidR="004841DD" w:rsidRPr="004841DD" w:rsidRDefault="004841DD" w:rsidP="004841DD">
      <w:pPr>
        <w:pStyle w:val="Bibliography"/>
        <w:tabs>
          <w:tab w:val="left" w:pos="384"/>
        </w:tabs>
        <w:spacing w:after="240" w:line="480" w:lineRule="auto"/>
        <w:ind w:left="384" w:hanging="384"/>
      </w:pPr>
      <w:r w:rsidRPr="004841DD">
        <w:t xml:space="preserve">12. </w:t>
      </w:r>
      <w:r w:rsidRPr="004841DD">
        <w:tab/>
        <w:t>Closing the Gap Clearinghouse (AIHW &amp; AIFS). What works to overcome Indigenous disadvantage: key learnings and gaps in the evidence [Internet]. Canberra: AIHW; 2013 [cited 2021 May 14]. Available from: https://www.aihw.gov.au/reports/indigenous-australians/works-to-overcome-indigenous-disadvantage-2011/contents/table-of-contents</w:t>
      </w:r>
    </w:p>
    <w:p w14:paraId="080014C6" w14:textId="77777777" w:rsidR="004841DD" w:rsidRPr="004841DD" w:rsidRDefault="004841DD" w:rsidP="004841DD">
      <w:pPr>
        <w:pStyle w:val="Bibliography"/>
        <w:tabs>
          <w:tab w:val="left" w:pos="384"/>
        </w:tabs>
        <w:spacing w:after="240" w:line="480" w:lineRule="auto"/>
        <w:ind w:left="384" w:hanging="384"/>
      </w:pPr>
      <w:r w:rsidRPr="004841DD">
        <w:t xml:space="preserve">13. </w:t>
      </w:r>
      <w:r w:rsidRPr="004841DD">
        <w:tab/>
        <w:t>Productivity Commission. Overcoming Indigenous Disadvantage: Key Indicators 2016 [Internet]. Canberra: Productivity Commission; 2016 [cited 2021 May 16]. Available from: https://www.pc.gov.au/research/ongoing/overcoming-indigenous-disadvantage/2016</w:t>
      </w:r>
    </w:p>
    <w:p w14:paraId="062996D2" w14:textId="77777777" w:rsidR="004841DD" w:rsidRPr="004841DD" w:rsidRDefault="004841DD" w:rsidP="004841DD">
      <w:pPr>
        <w:pStyle w:val="Bibliography"/>
        <w:tabs>
          <w:tab w:val="left" w:pos="384"/>
        </w:tabs>
        <w:spacing w:after="240" w:line="480" w:lineRule="auto"/>
        <w:ind w:left="384" w:hanging="384"/>
      </w:pPr>
      <w:r w:rsidRPr="004841DD">
        <w:t xml:space="preserve">14. </w:t>
      </w:r>
      <w:r w:rsidRPr="004841DD">
        <w:tab/>
        <w:t xml:space="preserve">McCalman J. The transfer and implementation of an Aboriginal Australian wellbeing program: a grounded theory study. Implement Sci. 2013 Oct 31;8:129. </w:t>
      </w:r>
    </w:p>
    <w:p w14:paraId="048BB42F" w14:textId="77777777" w:rsidR="004841DD" w:rsidRPr="004841DD" w:rsidRDefault="004841DD" w:rsidP="004841DD">
      <w:pPr>
        <w:pStyle w:val="Bibliography"/>
        <w:tabs>
          <w:tab w:val="left" w:pos="384"/>
        </w:tabs>
        <w:spacing w:after="240" w:line="480" w:lineRule="auto"/>
        <w:ind w:left="384" w:hanging="384"/>
      </w:pPr>
      <w:r w:rsidRPr="004841DD">
        <w:t xml:space="preserve">15. </w:t>
      </w:r>
      <w:r w:rsidRPr="004841DD">
        <w:tab/>
        <w:t xml:space="preserve">McCalman J, Bainbridge R, Brown C, Tsey K, Clarke A. The Aboriginal Australian Family Wellbeing program: A historical analysis of the conditions that enabled its spread. Front Public Health. 2018 Mar 1;6:26–26. </w:t>
      </w:r>
    </w:p>
    <w:p w14:paraId="7E8C23E5" w14:textId="77777777" w:rsidR="004841DD" w:rsidRPr="004841DD" w:rsidRDefault="004841DD" w:rsidP="004841DD">
      <w:pPr>
        <w:pStyle w:val="Bibliography"/>
        <w:tabs>
          <w:tab w:val="left" w:pos="384"/>
        </w:tabs>
        <w:spacing w:after="240" w:line="480" w:lineRule="auto"/>
        <w:ind w:left="384" w:hanging="384"/>
      </w:pPr>
      <w:r w:rsidRPr="004841DD">
        <w:lastRenderedPageBreak/>
        <w:t xml:space="preserve">16. </w:t>
      </w:r>
      <w:r w:rsidRPr="004841DD">
        <w:tab/>
        <w:t xml:space="preserve">Whiteside M, Thomas D, Griffin T, Stephens R, Maltzahn K, Tsey K, et al. Capturing research impact: The case study of a community wellbeing research partnership. Australian Social Work. 2021 Mar 17;0(0):1–12. </w:t>
      </w:r>
    </w:p>
    <w:p w14:paraId="5680D83D" w14:textId="614A0A91" w:rsidR="00741F3C" w:rsidRPr="00741F3C" w:rsidRDefault="00511957" w:rsidP="004841DD">
      <w:pPr>
        <w:pStyle w:val="Bibliography"/>
        <w:tabs>
          <w:tab w:val="left" w:pos="384"/>
        </w:tabs>
        <w:spacing w:after="240" w:line="480" w:lineRule="auto"/>
        <w:ind w:left="384" w:hanging="384"/>
        <w:rPr>
          <w:lang w:eastAsia="en-US"/>
        </w:rPr>
      </w:pPr>
      <w:r>
        <w:fldChar w:fldCharType="end"/>
      </w:r>
    </w:p>
    <w:sectPr w:rsidR="00741F3C" w:rsidRPr="00741F3C" w:rsidSect="00741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F61FC"/>
    <w:multiLevelType w:val="hybridMultilevel"/>
    <w:tmpl w:val="92D0C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16"/>
    <w:rsid w:val="001243F4"/>
    <w:rsid w:val="00326EE5"/>
    <w:rsid w:val="004841DD"/>
    <w:rsid w:val="00511957"/>
    <w:rsid w:val="006B438A"/>
    <w:rsid w:val="0072154F"/>
    <w:rsid w:val="00741F3C"/>
    <w:rsid w:val="007B4F16"/>
    <w:rsid w:val="00B217FA"/>
    <w:rsid w:val="00BA60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C6B4"/>
  <w15:chartTrackingRefBased/>
  <w15:docId w15:val="{E648A774-FA3E-4F1D-B8FE-7CF93087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F1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7B4F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4F16"/>
    <w:pPr>
      <w:keepNext/>
      <w:keepLines/>
      <w:spacing w:before="40" w:line="360"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7B4F1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F16"/>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rsid w:val="007B4F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B4F16"/>
    <w:rPr>
      <w:rFonts w:asciiTheme="majorHAnsi" w:eastAsiaTheme="majorEastAsia" w:hAnsiTheme="majorHAnsi" w:cstheme="majorBidi"/>
      <w:color w:val="1F4D78" w:themeColor="accent1" w:themeShade="7F"/>
      <w:sz w:val="24"/>
      <w:szCs w:val="24"/>
      <w:lang w:eastAsia="en-AU"/>
    </w:rPr>
  </w:style>
  <w:style w:type="paragraph" w:styleId="ListParagraph">
    <w:name w:val="List Paragraph"/>
    <w:basedOn w:val="Normal"/>
    <w:uiPriority w:val="34"/>
    <w:qFormat/>
    <w:rsid w:val="007B4F16"/>
    <w:pPr>
      <w:spacing w:line="360" w:lineRule="auto"/>
      <w:ind w:left="720"/>
      <w:contextualSpacing/>
    </w:pPr>
    <w:rPr>
      <w:rFonts w:eastAsiaTheme="minorEastAsia" w:cstheme="minorBidi"/>
      <w:lang w:val="en-GB" w:eastAsia="en-US"/>
    </w:rPr>
  </w:style>
  <w:style w:type="table" w:styleId="TableGrid">
    <w:name w:val="Table Grid"/>
    <w:basedOn w:val="TableNormal"/>
    <w:uiPriority w:val="39"/>
    <w:rsid w:val="007B4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F16"/>
    <w:pPr>
      <w:autoSpaceDE w:val="0"/>
      <w:autoSpaceDN w:val="0"/>
      <w:adjustRightInd w:val="0"/>
      <w:spacing w:after="0" w:line="240" w:lineRule="auto"/>
    </w:pPr>
    <w:rPr>
      <w:rFonts w:ascii="Minion Pro" w:hAnsi="Minion Pro" w:cs="Minion Pro"/>
      <w:color w:val="000000"/>
      <w:sz w:val="24"/>
      <w:szCs w:val="24"/>
      <w:lang w:val="en-US"/>
    </w:rPr>
  </w:style>
  <w:style w:type="paragraph" w:styleId="Bibliography">
    <w:name w:val="Bibliography"/>
    <w:basedOn w:val="Normal"/>
    <w:next w:val="Normal"/>
    <w:uiPriority w:val="37"/>
    <w:unhideWhenUsed/>
    <w:rsid w:val="0051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4C729FABCDC48BC4F13847092CB78" ma:contentTypeVersion="12" ma:contentTypeDescription="Create a new document." ma:contentTypeScope="" ma:versionID="19f1e0ea2e068a207b9c7eecaa8e6a92">
  <xsd:schema xmlns:xsd="http://www.w3.org/2001/XMLSchema" xmlns:xs="http://www.w3.org/2001/XMLSchema" xmlns:p="http://schemas.microsoft.com/office/2006/metadata/properties" xmlns:ns3="85bfa582-2371-4624-9006-8172730b453f" xmlns:ns4="803eba48-1fa2-4a46-9c13-4d8669cae5d0" targetNamespace="http://schemas.microsoft.com/office/2006/metadata/properties" ma:root="true" ma:fieldsID="aca5fc4185c20ab110c5bc400311543a" ns3:_="" ns4:_="">
    <xsd:import namespace="85bfa582-2371-4624-9006-8172730b453f"/>
    <xsd:import namespace="803eba48-1fa2-4a46-9c13-4d8669cae5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fa582-2371-4624-9006-8172730b4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3eba48-1fa2-4a46-9c13-4d8669cae5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6E2E0-4AB5-4935-98CD-285D081B0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fa582-2371-4624-9006-8172730b453f"/>
    <ds:schemaRef ds:uri="803eba48-1fa2-4a46-9c13-4d8669cae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287A7-FEFB-4271-849D-FE9519FACD6C}">
  <ds:schemaRefs>
    <ds:schemaRef ds:uri="http://purl.org/dc/elements/1.1/"/>
    <ds:schemaRef ds:uri="http://schemas.microsoft.com/office/2006/metadata/properties"/>
    <ds:schemaRef ds:uri="http://schemas.openxmlformats.org/package/2006/metadata/core-properties"/>
    <ds:schemaRef ds:uri="85bfa582-2371-4624-9006-8172730b453f"/>
    <ds:schemaRef ds:uri="http://purl.org/dc/terms/"/>
    <ds:schemaRef ds:uri="http://schemas.microsoft.com/office/2006/documentManagement/types"/>
    <ds:schemaRef ds:uri="http://schemas.microsoft.com/office/infopath/2007/PartnerControls"/>
    <ds:schemaRef ds:uri="803eba48-1fa2-4a46-9c13-4d8669cae5d0"/>
    <ds:schemaRef ds:uri="http://www.w3.org/XML/1998/namespace"/>
    <ds:schemaRef ds:uri="http://purl.org/dc/dcmitype/"/>
  </ds:schemaRefs>
</ds:datastoreItem>
</file>

<file path=customXml/itemProps3.xml><?xml version="1.0" encoding="utf-8"?>
<ds:datastoreItem xmlns:ds="http://schemas.openxmlformats.org/officeDocument/2006/customXml" ds:itemID="{E4CE878D-F129-454F-8C59-C3BA4F312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7121</Words>
  <Characters>40595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Niru</dc:creator>
  <cp:keywords/>
  <dc:description/>
  <cp:lastModifiedBy>Niru</cp:lastModifiedBy>
  <cp:revision>6</cp:revision>
  <dcterms:created xsi:type="dcterms:W3CDTF">2021-06-23T08:35:00Z</dcterms:created>
  <dcterms:modified xsi:type="dcterms:W3CDTF">2021-08-04T06:53:00Z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0x0101000BF4C729FABCDC48BC4F13847092CB78</vt:lpwstr>
  </property>
  <property fmtid="{D5CDD505-2E9C-101B-9397-08002B2CF9AE}" pid="3" name="ZOTERO_PREF_1">
    <vt:lpwstr>&lt;data data-version="3" zotero-version="5.0.96.2"&gt;&lt;session id="loCNJCWW"/&gt;&lt;style id="http://www.zotero.org/styles/vancouver" locale="en-US" hasBibliography="1" bibliographyStyleHasBeenSet="1"/&gt;&lt;prefs&gt;&lt;pref name="fieldType" value="Field"/&gt;&lt;/prefs&gt;&lt;/data&gt;</vt:lpwstr>
  </property>
</Properties>
</file>