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20" w:rsidRPr="006665A2" w:rsidRDefault="00F64820" w:rsidP="00F64820">
      <w:pPr>
        <w:spacing w:after="0" w:line="240" w:lineRule="auto"/>
        <w:jc w:val="both"/>
        <w:rPr>
          <w:rFonts w:cs="Times New Roman"/>
          <w:b/>
          <w:color w:val="0070C0"/>
          <w:sz w:val="32"/>
        </w:rPr>
      </w:pPr>
      <w:r w:rsidRPr="00DD6190">
        <w:rPr>
          <w:rFonts w:cs="Times New Roman"/>
          <w:b/>
          <w:color w:val="0070C0"/>
          <w:sz w:val="32"/>
        </w:rPr>
        <w:t>Identification of piR</w:t>
      </w:r>
      <w:r>
        <w:rPr>
          <w:rFonts w:cs="Times New Roman"/>
          <w:b/>
          <w:color w:val="0070C0"/>
          <w:sz w:val="32"/>
        </w:rPr>
        <w:t>NA</w:t>
      </w:r>
      <w:r w:rsidRPr="00DD6190">
        <w:rPr>
          <w:rFonts w:cs="Times New Roman"/>
          <w:b/>
          <w:color w:val="0070C0"/>
          <w:sz w:val="32"/>
        </w:rPr>
        <w:t xml:space="preserve">-1245 - a novel oncogenic piRNA associated with </w:t>
      </w:r>
      <w:r>
        <w:rPr>
          <w:rFonts w:cs="Times New Roman"/>
          <w:b/>
          <w:color w:val="0070C0"/>
          <w:sz w:val="32"/>
        </w:rPr>
        <w:t>disease</w:t>
      </w:r>
      <w:r w:rsidRPr="00DD6190">
        <w:rPr>
          <w:rFonts w:cs="Times New Roman"/>
          <w:b/>
          <w:color w:val="0070C0"/>
          <w:sz w:val="32"/>
        </w:rPr>
        <w:t xml:space="preserve"> progression, and a promising prognostic biomarker in </w:t>
      </w:r>
      <w:r>
        <w:rPr>
          <w:rFonts w:cs="Times New Roman"/>
          <w:b/>
          <w:color w:val="0070C0"/>
          <w:sz w:val="32"/>
        </w:rPr>
        <w:t>colorectal cancer</w:t>
      </w:r>
    </w:p>
    <w:p w:rsidR="00F64820" w:rsidRPr="005D7119" w:rsidRDefault="00F64820" w:rsidP="00F64820">
      <w:pPr>
        <w:spacing w:after="0" w:line="240" w:lineRule="auto"/>
        <w:jc w:val="both"/>
        <w:rPr>
          <w:rFonts w:cs="Times New Roman"/>
        </w:rPr>
      </w:pPr>
    </w:p>
    <w:p w:rsidR="00F64820" w:rsidRPr="006665A2" w:rsidRDefault="00F64820" w:rsidP="00F64820">
      <w:pPr>
        <w:spacing w:after="0" w:line="240" w:lineRule="auto"/>
        <w:jc w:val="both"/>
        <w:rPr>
          <w:rFonts w:cs="Times New Roman"/>
          <w:sz w:val="24"/>
        </w:rPr>
      </w:pPr>
      <w:r w:rsidRPr="009A4497">
        <w:rPr>
          <w:rFonts w:cs="Times New Roman"/>
          <w:sz w:val="24"/>
        </w:rPr>
        <w:t>Wenhao Weng</w:t>
      </w:r>
      <w:r w:rsidRPr="009A4497">
        <w:rPr>
          <w:rFonts w:cs="Times New Roman"/>
          <w:sz w:val="24"/>
          <w:vertAlign w:val="superscript"/>
        </w:rPr>
        <w:t>1,2</w:t>
      </w:r>
      <w:r w:rsidRPr="009A4497">
        <w:rPr>
          <w:rFonts w:cs="Times New Roman" w:hint="eastAsia"/>
          <w:sz w:val="24"/>
          <w:vertAlign w:val="superscript"/>
          <w:lang w:eastAsia="zh-CN"/>
        </w:rPr>
        <w:t>,3</w:t>
      </w:r>
      <w:r w:rsidRPr="009A4497">
        <w:rPr>
          <w:rFonts w:cs="Times New Roman"/>
          <w:sz w:val="24"/>
          <w:vertAlign w:val="superscript"/>
        </w:rPr>
        <w:t>#</w:t>
      </w:r>
      <w:r w:rsidRPr="009A4497">
        <w:rPr>
          <w:rFonts w:cs="Times New Roman"/>
          <w:sz w:val="24"/>
        </w:rPr>
        <w:t>, Na Liu</w:t>
      </w:r>
      <w:r w:rsidRPr="009A4497">
        <w:rPr>
          <w:rFonts w:cs="Times New Roman" w:hint="eastAsia"/>
          <w:sz w:val="24"/>
          <w:vertAlign w:val="superscript"/>
          <w:lang w:eastAsia="zh-CN"/>
        </w:rPr>
        <w:t>4</w:t>
      </w:r>
      <w:r w:rsidRPr="009A4497">
        <w:rPr>
          <w:rFonts w:cs="Times New Roman"/>
          <w:sz w:val="24"/>
          <w:vertAlign w:val="superscript"/>
        </w:rPr>
        <w:t>#</w:t>
      </w:r>
      <w:r w:rsidRPr="009A4497">
        <w:rPr>
          <w:rFonts w:cs="Times New Roman"/>
          <w:sz w:val="24"/>
        </w:rPr>
        <w:t>, Yuji Toiyama</w:t>
      </w:r>
      <w:r w:rsidRPr="009A4497">
        <w:rPr>
          <w:rFonts w:cs="Times New Roman" w:hint="eastAsia"/>
          <w:sz w:val="24"/>
          <w:vertAlign w:val="superscript"/>
          <w:lang w:eastAsia="zh-CN"/>
        </w:rPr>
        <w:t>5</w:t>
      </w:r>
      <w:r w:rsidRPr="009A4497">
        <w:rPr>
          <w:rFonts w:cs="Times New Roman"/>
          <w:sz w:val="24"/>
        </w:rPr>
        <w:t>, Masato Kusunoki</w:t>
      </w:r>
      <w:r w:rsidRPr="009A4497">
        <w:rPr>
          <w:rFonts w:cs="Times New Roman" w:hint="eastAsia"/>
          <w:sz w:val="24"/>
          <w:vertAlign w:val="superscript"/>
          <w:lang w:eastAsia="zh-CN"/>
        </w:rPr>
        <w:t>5</w:t>
      </w:r>
      <w:r w:rsidRPr="009A4497">
        <w:rPr>
          <w:rFonts w:cs="Times New Roman"/>
          <w:sz w:val="24"/>
        </w:rPr>
        <w:t>, Takeshi Nagasaka</w:t>
      </w:r>
      <w:r w:rsidRPr="009A4497">
        <w:rPr>
          <w:rFonts w:cs="Times New Roman" w:hint="eastAsia"/>
          <w:sz w:val="24"/>
          <w:vertAlign w:val="superscript"/>
          <w:lang w:eastAsia="zh-CN"/>
        </w:rPr>
        <w:t>6</w:t>
      </w:r>
      <w:r w:rsidRPr="009A4497">
        <w:rPr>
          <w:rFonts w:cs="Times New Roman"/>
          <w:sz w:val="24"/>
        </w:rPr>
        <w:t>, Toshiyoshi</w:t>
      </w:r>
      <w:r w:rsidRPr="006665A2">
        <w:rPr>
          <w:rFonts w:cs="Times New Roman"/>
          <w:sz w:val="24"/>
        </w:rPr>
        <w:t xml:space="preserve"> Fujiwara</w:t>
      </w:r>
      <w:r>
        <w:rPr>
          <w:rFonts w:cs="Times New Roman" w:hint="eastAsia"/>
          <w:sz w:val="24"/>
          <w:vertAlign w:val="superscript"/>
          <w:lang w:eastAsia="zh-CN"/>
        </w:rPr>
        <w:t>6</w:t>
      </w:r>
      <w:r w:rsidRPr="006665A2">
        <w:rPr>
          <w:rFonts w:cs="Times New Roman"/>
          <w:sz w:val="24"/>
        </w:rPr>
        <w:t>, Qing Wei</w:t>
      </w:r>
      <w:r>
        <w:rPr>
          <w:rFonts w:cs="Times New Roman" w:hint="eastAsia"/>
          <w:sz w:val="24"/>
          <w:vertAlign w:val="superscript"/>
          <w:lang w:eastAsia="zh-CN"/>
        </w:rPr>
        <w:t>7</w:t>
      </w:r>
      <w:r w:rsidRPr="006665A2">
        <w:rPr>
          <w:rFonts w:cs="Times New Roman"/>
          <w:sz w:val="24"/>
        </w:rPr>
        <w:t>, Huanlong Qin</w:t>
      </w:r>
      <w:r>
        <w:rPr>
          <w:rFonts w:cs="Times New Roman" w:hint="eastAsia"/>
          <w:sz w:val="24"/>
          <w:vertAlign w:val="superscript"/>
          <w:lang w:eastAsia="zh-CN"/>
        </w:rPr>
        <w:t>8</w:t>
      </w:r>
      <w:r w:rsidRPr="006665A2">
        <w:rPr>
          <w:rFonts w:cs="Times New Roman"/>
          <w:sz w:val="24"/>
        </w:rPr>
        <w:t>, Haifan Lin</w:t>
      </w:r>
      <w:r>
        <w:rPr>
          <w:rFonts w:cs="Times New Roman" w:hint="eastAsia"/>
          <w:sz w:val="24"/>
          <w:vertAlign w:val="superscript"/>
          <w:lang w:eastAsia="zh-CN"/>
        </w:rPr>
        <w:t>4</w:t>
      </w:r>
      <w:r w:rsidRPr="006665A2">
        <w:rPr>
          <w:rFonts w:cs="Times New Roman"/>
          <w:sz w:val="24"/>
        </w:rPr>
        <w:t xml:space="preserve"> , Yanlei Ma</w:t>
      </w:r>
      <w:r>
        <w:rPr>
          <w:rFonts w:cs="Times New Roman" w:hint="eastAsia"/>
          <w:sz w:val="24"/>
          <w:vertAlign w:val="superscript"/>
          <w:lang w:eastAsia="zh-CN"/>
        </w:rPr>
        <w:t>9</w:t>
      </w:r>
      <w:r w:rsidRPr="006665A2">
        <w:rPr>
          <w:rFonts w:cs="Times New Roman"/>
          <w:sz w:val="24"/>
          <w:vertAlign w:val="superscript"/>
        </w:rPr>
        <w:t>,</w:t>
      </w:r>
      <w:r>
        <w:rPr>
          <w:rFonts w:cs="Times New Roman" w:hint="eastAsia"/>
          <w:sz w:val="24"/>
          <w:vertAlign w:val="superscript"/>
          <w:lang w:eastAsia="zh-CN"/>
        </w:rPr>
        <w:t>10</w:t>
      </w:r>
      <w:r w:rsidRPr="006665A2">
        <w:rPr>
          <w:rFonts w:cs="Times New Roman"/>
          <w:sz w:val="24"/>
        </w:rPr>
        <w:t>and Ajay Goel</w:t>
      </w:r>
      <w:r w:rsidRPr="006665A2">
        <w:rPr>
          <w:rFonts w:cs="Times New Roman"/>
          <w:sz w:val="24"/>
          <w:vertAlign w:val="superscript"/>
        </w:rPr>
        <w:t>1</w:t>
      </w:r>
    </w:p>
    <w:p w:rsidR="00F64820" w:rsidRDefault="00F64820" w:rsidP="00F64820">
      <w:pPr>
        <w:rPr>
          <w:rFonts w:cs="Times New Roman"/>
          <w:color w:val="0070C0"/>
        </w:rPr>
      </w:pPr>
    </w:p>
    <w:p w:rsidR="00F64820" w:rsidRDefault="00F64820" w:rsidP="00F64820">
      <w:pPr>
        <w:rPr>
          <w:rFonts w:cs="Times New Roman"/>
          <w:color w:val="0070C0"/>
        </w:rPr>
      </w:pPr>
    </w:p>
    <w:p w:rsidR="00F64820" w:rsidRDefault="00F64820" w:rsidP="00F64820">
      <w:pPr>
        <w:rPr>
          <w:rFonts w:cs="Times New Roman"/>
          <w:color w:val="0070C0"/>
        </w:rPr>
      </w:pPr>
    </w:p>
    <w:p w:rsidR="00F64820" w:rsidRDefault="00F64820" w:rsidP="00F64820">
      <w:pPr>
        <w:jc w:val="center"/>
        <w:rPr>
          <w:rFonts w:cs="Times New Roman"/>
          <w:color w:val="0070C0"/>
          <w:sz w:val="32"/>
        </w:rPr>
      </w:pPr>
      <w:r w:rsidRPr="00F16945">
        <w:rPr>
          <w:rFonts w:cs="Times New Roman"/>
          <w:color w:val="0070C0"/>
          <w:sz w:val="32"/>
        </w:rPr>
        <w:t>Supplementary Methods</w:t>
      </w:r>
    </w:p>
    <w:p w:rsidR="00F64820" w:rsidRDefault="00F64820" w:rsidP="00F64820">
      <w:pPr>
        <w:rPr>
          <w:rFonts w:cs="Times New Roman"/>
          <w:color w:val="0070C0"/>
          <w:sz w:val="32"/>
        </w:rPr>
      </w:pPr>
    </w:p>
    <w:p w:rsidR="00F64820" w:rsidRPr="00F16945" w:rsidRDefault="00F64820" w:rsidP="00F64820">
      <w:pPr>
        <w:rPr>
          <w:rFonts w:cs="Times New Roman"/>
          <w:b/>
          <w:color w:val="0070C0"/>
          <w:sz w:val="24"/>
        </w:rPr>
      </w:pPr>
      <w:r>
        <w:rPr>
          <w:rFonts w:cs="Times New Roman"/>
          <w:b/>
          <w:color w:val="0070C0"/>
          <w:sz w:val="24"/>
        </w:rPr>
        <w:t>METHODS</w:t>
      </w:r>
      <w:r w:rsidRPr="00F16945">
        <w:rPr>
          <w:rFonts w:cs="Times New Roman"/>
          <w:b/>
          <w:color w:val="0070C0"/>
          <w:sz w:val="24"/>
        </w:rPr>
        <w:t>:</w:t>
      </w:r>
    </w:p>
    <w:p w:rsidR="00F64820" w:rsidRPr="005D7119" w:rsidRDefault="00F64820" w:rsidP="00F64820">
      <w:pPr>
        <w:spacing w:before="240" w:after="0" w:line="360" w:lineRule="auto"/>
        <w:jc w:val="both"/>
        <w:rPr>
          <w:rFonts w:cs="Times New Roman"/>
          <w:color w:val="0070C0"/>
        </w:rPr>
      </w:pPr>
      <w:r w:rsidRPr="005D7119">
        <w:rPr>
          <w:rFonts w:cs="Times New Roman"/>
          <w:color w:val="0070C0"/>
        </w:rPr>
        <w:t>Small RNA-seq</w:t>
      </w:r>
      <w:r>
        <w:rPr>
          <w:rFonts w:cs="Times New Roman"/>
          <w:color w:val="0070C0"/>
        </w:rPr>
        <w:t>uencing</w:t>
      </w:r>
      <w:r w:rsidRPr="005D7119">
        <w:rPr>
          <w:rFonts w:cs="Times New Roman"/>
          <w:color w:val="0070C0"/>
        </w:rPr>
        <w:t xml:space="preserve"> analysis</w:t>
      </w:r>
    </w:p>
    <w:p w:rsidR="00F64820" w:rsidRPr="000D0BA0" w:rsidRDefault="00F64820" w:rsidP="00F64820">
      <w:pPr>
        <w:spacing w:after="0" w:line="360" w:lineRule="auto"/>
        <w:jc w:val="both"/>
        <w:rPr>
          <w:rFonts w:cs="Times New Roman"/>
        </w:rPr>
      </w:pPr>
      <w:bookmarkStart w:id="0" w:name="_GoBack"/>
      <w:r w:rsidRPr="000D0BA0">
        <w:rPr>
          <w:rFonts w:cs="Times New Roman"/>
        </w:rPr>
        <w:t>For RNA-sequencing, 1μg of total RNA was used for library preparation with Illumina’s TruSeq small RNA sample preparation Kit. Linker sequences were trimmed off from the 50 nt raw sequences by using fastx_clipper with at least 8bp match. All the trimmed sequences were shorter than 9 nucleotides length. Next, the trimmed sequences were filtered for human piRNAs reported in the latest version of pirBase. The remaining small RNAs that mapped to human genome hg38 version were matched to known piRNAs collected from the piRNA bank (</w:t>
      </w:r>
      <w:hyperlink r:id="rId6" w:history="1">
        <w:r w:rsidRPr="000D0BA0">
          <w:rPr>
            <w:rStyle w:val="Hyperlink"/>
            <w:rFonts w:cs="Times New Roman"/>
            <w:color w:val="auto"/>
          </w:rPr>
          <w:t>http://pirnabank.ibab.ac.in</w:t>
        </w:r>
      </w:hyperlink>
      <w:r w:rsidRPr="000D0BA0">
        <w:rPr>
          <w:rFonts w:cs="Times New Roman"/>
        </w:rPr>
        <w:t>), and pirbase (</w:t>
      </w:r>
      <w:hyperlink r:id="rId7" w:history="1">
        <w:r w:rsidRPr="000D0BA0">
          <w:rPr>
            <w:rStyle w:val="Hyperlink"/>
            <w:rFonts w:cs="Times New Roman"/>
            <w:color w:val="auto"/>
          </w:rPr>
          <w:t>http://www.regulatoryrna.org/database/piRNA)</w:t>
        </w:r>
      </w:hyperlink>
      <w:r w:rsidRPr="000D0BA0">
        <w:rPr>
          <w:rFonts w:cs="Times New Roman"/>
        </w:rPr>
        <w:t xml:space="preserve">.DESeq was employed to identify differentially expressed piRNAs in colorectal cancer patients (with ≥2 fold change and </w:t>
      </w:r>
      <w:r w:rsidRPr="000D0BA0">
        <w:rPr>
          <w:rFonts w:cs="Times New Roman"/>
          <w:i/>
        </w:rPr>
        <w:t>P</w:t>
      </w:r>
      <w:r w:rsidRPr="000D0BA0">
        <w:rPr>
          <w:rFonts w:cs="Times New Roman"/>
        </w:rPr>
        <w:t xml:space="preserve">-value≤0.01). </w:t>
      </w:r>
    </w:p>
    <w:bookmarkEnd w:id="0"/>
    <w:p w:rsidR="00F64820" w:rsidRPr="005D7119" w:rsidRDefault="00F64820" w:rsidP="00F64820">
      <w:pPr>
        <w:spacing w:before="240" w:after="0" w:line="360" w:lineRule="auto"/>
        <w:jc w:val="both"/>
        <w:rPr>
          <w:rFonts w:cs="Times New Roman"/>
          <w:color w:val="0070C0"/>
        </w:rPr>
      </w:pPr>
      <w:r w:rsidRPr="005D7119">
        <w:rPr>
          <w:rFonts w:cs="Times New Roman"/>
          <w:color w:val="0070C0"/>
        </w:rPr>
        <w:t>piRNA quantification by qRT-PCR</w:t>
      </w:r>
    </w:p>
    <w:p w:rsidR="00F64820" w:rsidRPr="005D7119" w:rsidRDefault="00F64820" w:rsidP="00F64820">
      <w:pPr>
        <w:spacing w:after="0" w:line="360" w:lineRule="auto"/>
        <w:jc w:val="both"/>
        <w:rPr>
          <w:rFonts w:cs="Times New Roman"/>
        </w:rPr>
      </w:pPr>
      <w:r w:rsidRPr="005D7119">
        <w:rPr>
          <w:rFonts w:cs="Times New Roman"/>
        </w:rPr>
        <w:t>Expression of identified piRNAs (DQ593356</w:t>
      </w:r>
      <w:r>
        <w:rPr>
          <w:rFonts w:cs="Times New Roman" w:hint="eastAsia"/>
          <w:lang w:eastAsia="zh-CN"/>
        </w:rPr>
        <w:t>/</w:t>
      </w:r>
      <w:r w:rsidRPr="00C56A81">
        <w:rPr>
          <w:rFonts w:cs="Times New Roman"/>
          <w:lang w:eastAsia="zh-CN"/>
        </w:rPr>
        <w:t>piR-hsa-23619</w:t>
      </w:r>
      <w:r w:rsidRPr="005D7119">
        <w:rPr>
          <w:rFonts w:cs="Times New Roman"/>
        </w:rPr>
        <w:t>, DQ596309</w:t>
      </w:r>
      <w:r>
        <w:rPr>
          <w:rFonts w:cs="Times New Roman" w:hint="eastAsia"/>
          <w:lang w:eastAsia="zh-CN"/>
        </w:rPr>
        <w:t>/</w:t>
      </w:r>
      <w:r w:rsidRPr="00C56A81">
        <w:rPr>
          <w:rFonts w:cs="Times New Roman"/>
          <w:lang w:eastAsia="zh-CN"/>
        </w:rPr>
        <w:t>piR-hsa-26525</w:t>
      </w:r>
      <w:r w:rsidRPr="005D7119">
        <w:rPr>
          <w:rFonts w:cs="Times New Roman"/>
        </w:rPr>
        <w:t>, DQ593752</w:t>
      </w:r>
      <w:r>
        <w:rPr>
          <w:rFonts w:cs="Times New Roman" w:hint="eastAsia"/>
          <w:lang w:eastAsia="zh-CN"/>
        </w:rPr>
        <w:t>/</w:t>
      </w:r>
      <w:r w:rsidRPr="00C56A81">
        <w:rPr>
          <w:rFonts w:cs="Times New Roman"/>
        </w:rPr>
        <w:t>piR-hsa-24000</w:t>
      </w:r>
      <w:r w:rsidRPr="005D7119">
        <w:rPr>
          <w:rFonts w:cs="Times New Roman"/>
        </w:rPr>
        <w:t xml:space="preserve"> and DQ570994</w:t>
      </w:r>
      <w:r>
        <w:rPr>
          <w:rFonts w:cs="Times New Roman" w:hint="eastAsia"/>
          <w:lang w:eastAsia="zh-CN"/>
        </w:rPr>
        <w:t>/</w:t>
      </w:r>
      <w:r w:rsidRPr="00C56A81">
        <w:rPr>
          <w:rFonts w:cs="Times New Roman"/>
          <w:lang w:eastAsia="zh-CN"/>
        </w:rPr>
        <w:t>piR-hsa-1245</w:t>
      </w:r>
      <w:r w:rsidRPr="005D7119">
        <w:rPr>
          <w:rFonts w:cs="Times New Roman"/>
        </w:rPr>
        <w:t xml:space="preserve">) was analyzed using Custom TaqMan </w:t>
      </w:r>
      <w:r w:rsidRPr="005D7119">
        <w:rPr>
          <w:rFonts w:cs="Times New Roman"/>
        </w:rPr>
        <w:lastRenderedPageBreak/>
        <w:t>small RNA assays (Applied Biosystems, Foster City, CA, USA), and U6 expression was used as an endogenous control for data normalization, as described previously</w:t>
      </w:r>
      <w:r>
        <w:rPr>
          <w:rFonts w:cs="Times New Roman"/>
        </w:rPr>
        <w:t>.</w:t>
      </w:r>
      <w:r w:rsidRPr="005D7119">
        <w:rPr>
          <w:rFonts w:cs="Times New Roman"/>
        </w:rPr>
        <w:t xml:space="preserve"> The average expression levels of tissue piRNAs </w:t>
      </w:r>
      <w:r>
        <w:rPr>
          <w:rFonts w:cs="Times New Roman"/>
        </w:rPr>
        <w:t>was</w:t>
      </w:r>
      <w:r w:rsidRPr="005D7119">
        <w:rPr>
          <w:rFonts w:cs="Times New Roman"/>
        </w:rPr>
        <w:t xml:space="preserve"> normalized against U6 using the 2</w:t>
      </w:r>
      <w:r w:rsidRPr="005D7119">
        <w:rPr>
          <w:rFonts w:cs="Times New Roman"/>
          <w:vertAlign w:val="superscript"/>
        </w:rPr>
        <w:t>-ΔCt</w:t>
      </w:r>
      <w:r w:rsidRPr="005D7119">
        <w:rPr>
          <w:rFonts w:cs="Times New Roman"/>
        </w:rPr>
        <w:t xml:space="preserve"> method.</w:t>
      </w:r>
    </w:p>
    <w:p w:rsidR="00F64820" w:rsidRPr="005D7119" w:rsidRDefault="00F64820" w:rsidP="00F64820">
      <w:pPr>
        <w:spacing w:before="240" w:after="0" w:line="360" w:lineRule="auto"/>
        <w:jc w:val="both"/>
        <w:rPr>
          <w:rFonts w:cs="Times New Roman"/>
          <w:color w:val="0070C0"/>
        </w:rPr>
      </w:pPr>
      <w:r w:rsidRPr="005D7119">
        <w:rPr>
          <w:rFonts w:cs="Times New Roman"/>
          <w:color w:val="0070C0"/>
        </w:rPr>
        <w:t>Gene expression analysis by quantitative Reverse Transcription Polymerase Reaction (qRT-PCR)</w:t>
      </w:r>
    </w:p>
    <w:p w:rsidR="00F64820" w:rsidRDefault="00F64820" w:rsidP="00F64820">
      <w:pPr>
        <w:spacing w:after="0" w:line="360" w:lineRule="auto"/>
        <w:jc w:val="both"/>
        <w:rPr>
          <w:rFonts w:cs="Times New Roman"/>
        </w:rPr>
      </w:pPr>
      <w:r w:rsidRPr="005D7119">
        <w:rPr>
          <w:rFonts w:cs="Times New Roman"/>
        </w:rPr>
        <w:t xml:space="preserve">The qRT-PCR assays were performed using </w:t>
      </w:r>
      <w:r>
        <w:rPr>
          <w:rFonts w:cs="Times New Roman"/>
        </w:rPr>
        <w:t>Quant</w:t>
      </w:r>
      <w:r w:rsidRPr="005D7119">
        <w:rPr>
          <w:rFonts w:cs="Times New Roman"/>
        </w:rPr>
        <w:t>Studio</w:t>
      </w:r>
      <w:r>
        <w:rPr>
          <w:rFonts w:cs="Times New Roman"/>
        </w:rPr>
        <w:t>-</w:t>
      </w:r>
      <w:r w:rsidRPr="005D7119">
        <w:rPr>
          <w:rFonts w:cs="Times New Roman"/>
        </w:rPr>
        <w:t xml:space="preserve">6 Flex Real-Time PCR System (Applied Biosystems Foster City, CA). </w:t>
      </w:r>
      <w:r>
        <w:rPr>
          <w:rFonts w:cs="Times New Roman"/>
        </w:rPr>
        <w:t xml:space="preserve">Five hundred </w:t>
      </w:r>
      <w:r w:rsidRPr="005D7119">
        <w:rPr>
          <w:rFonts w:cs="Times New Roman"/>
        </w:rPr>
        <w:t>ng of total RNA was converted to cDNA using High-Capacity cDNA Reverse Transcription Kit (Applied Biosystems, Foster City, CA). Real-time PCR was thereafter performed using Fast SYBR Green Master Mix (Applied Biosystems, Foster City, CA). The relative expression of target genes was determined by 2</w:t>
      </w:r>
      <w:r w:rsidRPr="005D7119">
        <w:rPr>
          <w:rFonts w:cs="Times New Roman"/>
          <w:vertAlign w:val="superscript"/>
        </w:rPr>
        <w:t>-Δct</w:t>
      </w:r>
      <w:r w:rsidRPr="005D7119">
        <w:rPr>
          <w:rFonts w:cs="Times New Roman"/>
        </w:rPr>
        <w:t xml:space="preserve"> method. GAPDH were used as normalizers. The primer sequences used are shown in </w:t>
      </w:r>
      <w:r w:rsidRPr="005D7119">
        <w:rPr>
          <w:rFonts w:cs="Times New Roman"/>
          <w:b/>
        </w:rPr>
        <w:t>Supplementary Table S1</w:t>
      </w:r>
      <w:r w:rsidRPr="005D7119">
        <w:rPr>
          <w:rFonts w:cs="Times New Roman"/>
        </w:rPr>
        <w:t xml:space="preserve">. </w:t>
      </w:r>
    </w:p>
    <w:p w:rsidR="00F64820" w:rsidRDefault="00F64820" w:rsidP="00F64820">
      <w:pPr>
        <w:spacing w:after="0" w:line="360" w:lineRule="auto"/>
        <w:jc w:val="both"/>
        <w:rPr>
          <w:rFonts w:cs="Times New Roman"/>
          <w:color w:val="0070C0"/>
        </w:rPr>
      </w:pPr>
    </w:p>
    <w:p w:rsidR="00F64820" w:rsidRPr="00217C24" w:rsidRDefault="00F64820" w:rsidP="00F64820">
      <w:pPr>
        <w:spacing w:after="0" w:line="360" w:lineRule="auto"/>
        <w:jc w:val="both"/>
        <w:rPr>
          <w:rFonts w:cs="Times New Roman"/>
        </w:rPr>
      </w:pPr>
      <w:r w:rsidRPr="00217C24">
        <w:rPr>
          <w:rFonts w:cs="Times New Roman"/>
          <w:color w:val="0070C0"/>
        </w:rPr>
        <w:t>Cell</w:t>
      </w:r>
      <w:r w:rsidRPr="005D7119">
        <w:rPr>
          <w:rFonts w:cs="Times New Roman"/>
          <w:color w:val="0070C0"/>
        </w:rPr>
        <w:t xml:space="preserve"> lines, RNA oligos, </w:t>
      </w:r>
      <w:r w:rsidRPr="00217C24">
        <w:rPr>
          <w:rFonts w:cs="Times New Roman"/>
          <w:color w:val="0070C0"/>
        </w:rPr>
        <w:t>antisense</w:t>
      </w:r>
      <w:r w:rsidRPr="005D7119">
        <w:rPr>
          <w:rFonts w:cs="Times New Roman"/>
          <w:color w:val="0070C0"/>
        </w:rPr>
        <w:t xml:space="preserve"> and transfection</w:t>
      </w:r>
    </w:p>
    <w:p w:rsidR="00F64820" w:rsidRPr="005D7119" w:rsidRDefault="00F64820" w:rsidP="00F64820">
      <w:pPr>
        <w:spacing w:after="0" w:line="360" w:lineRule="auto"/>
        <w:jc w:val="both"/>
        <w:rPr>
          <w:rFonts w:cs="Times New Roman"/>
        </w:rPr>
      </w:pPr>
      <w:r w:rsidRPr="005D7119">
        <w:rPr>
          <w:rFonts w:cs="Times New Roman"/>
        </w:rPr>
        <w:t xml:space="preserve">HCT116 and SW480 were obtained from the American Type Culture Collection (ATCC, Rockville, MD) and cultured in Iscove’s modified Dulbecco’s medium (Invitrogen, Carlsbad, CA) supplemented with 10% fetal bovine serum (FBS) and antibiotics (100 U/ml penicillin and 100μg/ml streptomycin) at 37°C in 5% humidified CO2 atmosphere. These cell lines were periodically authenticated using a panel of genetic and epigenetic biomarkers. </w:t>
      </w:r>
    </w:p>
    <w:p w:rsidR="00F64820" w:rsidRPr="005D7119" w:rsidRDefault="00F64820" w:rsidP="00F64820">
      <w:pPr>
        <w:spacing w:after="0" w:line="360" w:lineRule="auto"/>
        <w:ind w:firstLine="720"/>
        <w:jc w:val="both"/>
        <w:rPr>
          <w:rFonts w:cs="Times New Roman"/>
        </w:rPr>
      </w:pPr>
      <w:r w:rsidRPr="005D7119">
        <w:rPr>
          <w:rFonts w:cs="Times New Roman"/>
        </w:rPr>
        <w:t xml:space="preserve">For the overexpression of </w:t>
      </w:r>
      <w:r>
        <w:rPr>
          <w:rFonts w:cs="Times New Roman"/>
        </w:rPr>
        <w:t>piR-1245</w:t>
      </w:r>
      <w:r w:rsidRPr="005D7119">
        <w:rPr>
          <w:rFonts w:cs="Times New Roman"/>
        </w:rPr>
        <w:t xml:space="preserve"> in CRC cell lines, HCT116 and SW480 were transfected in triplicate</w:t>
      </w:r>
      <w:r>
        <w:rPr>
          <w:rFonts w:cs="Times New Roman"/>
        </w:rPr>
        <w:t xml:space="preserve">s with either </w:t>
      </w:r>
      <w:r w:rsidRPr="005D7119">
        <w:rPr>
          <w:rFonts w:cs="Times New Roman"/>
        </w:rPr>
        <w:t>single-stranded RNA oligos</w:t>
      </w:r>
      <w:r>
        <w:rPr>
          <w:rFonts w:cs="Times New Roman"/>
        </w:rPr>
        <w:t xml:space="preserve"> </w:t>
      </w:r>
      <w:r w:rsidRPr="005D7119">
        <w:rPr>
          <w:rFonts w:cs="Times New Roman"/>
        </w:rPr>
        <w:t>(5’AGCCCUGAUGAUGCCCACUCCUGAGC-3’ with 2'-O-methylated 3'-end) or a single-stranded scrambled RNA control</w:t>
      </w:r>
      <w:r>
        <w:rPr>
          <w:rFonts w:cs="Times New Roman"/>
        </w:rPr>
        <w:t>s</w:t>
      </w:r>
      <w:r w:rsidRPr="005D7119">
        <w:rPr>
          <w:rFonts w:cs="Times New Roman"/>
        </w:rPr>
        <w:t xml:space="preserve"> (5’-UCA CAA CCU CCU AGA AAG AGU AGA -3’ with 2'-O-methylated 3'-end). For the inhibition of </w:t>
      </w:r>
      <w:r>
        <w:rPr>
          <w:rFonts w:cs="Times New Roman"/>
        </w:rPr>
        <w:t>piR-1245</w:t>
      </w:r>
      <w:r w:rsidRPr="005D7119">
        <w:rPr>
          <w:rFonts w:cs="Times New Roman"/>
        </w:rPr>
        <w:t xml:space="preserve"> in CRC cell lines, we designed antisense </w:t>
      </w:r>
      <w:r>
        <w:rPr>
          <w:rFonts w:cs="Times New Roman"/>
        </w:rPr>
        <w:t xml:space="preserve">oligos </w:t>
      </w:r>
      <w:r w:rsidRPr="005D7119">
        <w:rPr>
          <w:rFonts w:cs="Times New Roman"/>
        </w:rPr>
        <w:t xml:space="preserve">as described previously. The 2’-O-Me-modified antisense sequence was 5’-CUUA </w:t>
      </w:r>
      <w:r w:rsidRPr="005D7119">
        <w:rPr>
          <w:rFonts w:cs="Times New Roman"/>
          <w:u w:val="single"/>
        </w:rPr>
        <w:t>GCT CAG GAG TGG GCA TCA TCA GGG CT</w:t>
      </w:r>
      <w:r w:rsidRPr="005D7119">
        <w:rPr>
          <w:rFonts w:cs="Times New Roman"/>
        </w:rPr>
        <w:t xml:space="preserve"> ACCUU-3’, while negative scrambled control was 5’-CUUA</w:t>
      </w:r>
      <w:r w:rsidRPr="005D7119">
        <w:rPr>
          <w:rFonts w:cs="Times New Roman"/>
          <w:u w:val="single"/>
        </w:rPr>
        <w:t>TC aGG ACT gCTACt GGT GcG GAC gCG</w:t>
      </w:r>
      <w:r w:rsidRPr="005D7119">
        <w:rPr>
          <w:rFonts w:cs="Times New Roman"/>
        </w:rPr>
        <w:t>ACCUU-3’.</w:t>
      </w:r>
    </w:p>
    <w:p w:rsidR="00F64820" w:rsidRPr="005D7119" w:rsidRDefault="00F64820" w:rsidP="00F64820">
      <w:pPr>
        <w:spacing w:after="0" w:line="360" w:lineRule="auto"/>
        <w:jc w:val="both"/>
        <w:rPr>
          <w:rFonts w:cs="Times New Roman"/>
        </w:rPr>
      </w:pPr>
      <w:r>
        <w:rPr>
          <w:rFonts w:cs="Times New Roman"/>
        </w:rPr>
        <w:tab/>
        <w:t xml:space="preserve">For </w:t>
      </w:r>
      <w:r w:rsidRPr="005D7119">
        <w:rPr>
          <w:rFonts w:cs="Times New Roman"/>
        </w:rPr>
        <w:t xml:space="preserve">transfections, </w:t>
      </w:r>
      <w:r>
        <w:rPr>
          <w:rFonts w:cs="Times New Roman"/>
        </w:rPr>
        <w:t xml:space="preserve">CRC </w:t>
      </w:r>
      <w:r w:rsidRPr="005D7119">
        <w:rPr>
          <w:rFonts w:cs="Times New Roman"/>
        </w:rPr>
        <w:t>cells were transfected with RNA oligos or antisense at a final concentration of 100 nmol/L using LipofectamineRNAiMAX</w:t>
      </w:r>
      <w:r>
        <w:rPr>
          <w:rFonts w:cs="Times New Roman"/>
        </w:rPr>
        <w:t xml:space="preserve"> </w:t>
      </w:r>
      <w:r w:rsidRPr="005D7119">
        <w:rPr>
          <w:rFonts w:cs="Times New Roman"/>
        </w:rPr>
        <w:t>(Invitrogen) and Opti-MEM (Gibco) according to the manufacturer's instructions.</w:t>
      </w:r>
    </w:p>
    <w:p w:rsidR="00F64820" w:rsidRPr="005D7119" w:rsidRDefault="00F64820" w:rsidP="00F64820">
      <w:pPr>
        <w:spacing w:before="240" w:after="0" w:line="360" w:lineRule="auto"/>
        <w:jc w:val="both"/>
        <w:rPr>
          <w:rFonts w:cs="Times New Roman"/>
          <w:color w:val="0070C0"/>
        </w:rPr>
      </w:pPr>
      <w:r w:rsidRPr="005D7119">
        <w:rPr>
          <w:rFonts w:cs="Times New Roman"/>
          <w:color w:val="0070C0"/>
        </w:rPr>
        <w:lastRenderedPageBreak/>
        <w:t>MTT</w:t>
      </w:r>
      <w:r>
        <w:rPr>
          <w:rFonts w:cs="Times New Roman"/>
          <w:color w:val="0070C0"/>
        </w:rPr>
        <w:t xml:space="preserve"> and </w:t>
      </w:r>
      <w:r w:rsidRPr="005D7119">
        <w:rPr>
          <w:rFonts w:cs="Times New Roman"/>
          <w:color w:val="0070C0"/>
        </w:rPr>
        <w:t>colony formation</w:t>
      </w:r>
      <w:r>
        <w:rPr>
          <w:rFonts w:cs="Times New Roman"/>
          <w:color w:val="0070C0"/>
        </w:rPr>
        <w:t xml:space="preserve"> </w:t>
      </w:r>
      <w:r w:rsidRPr="005D7119">
        <w:rPr>
          <w:rFonts w:cs="Times New Roman"/>
          <w:color w:val="0070C0"/>
        </w:rPr>
        <w:t>assay</w:t>
      </w:r>
    </w:p>
    <w:p w:rsidR="00F64820" w:rsidRPr="005D7119" w:rsidRDefault="00F64820" w:rsidP="00F64820">
      <w:pPr>
        <w:spacing w:after="0" w:line="360" w:lineRule="auto"/>
        <w:jc w:val="both"/>
        <w:rPr>
          <w:rFonts w:cs="Times New Roman"/>
        </w:rPr>
      </w:pPr>
      <w:r w:rsidRPr="005D7119">
        <w:rPr>
          <w:rFonts w:cs="Times New Roman"/>
        </w:rPr>
        <w:t>MTT (3-(4,5-dimethylthiazol-2-yl)-2,5-diphenyltetrazolium bromide) assay (Sigma, St. Louis, MO, USA) was used to evaluate cell proliferation. Cells were seeded at 1×10</w:t>
      </w:r>
      <w:r w:rsidRPr="005D7119">
        <w:rPr>
          <w:rFonts w:cs="Times New Roman"/>
          <w:vertAlign w:val="superscript"/>
        </w:rPr>
        <w:t xml:space="preserve">3 </w:t>
      </w:r>
      <w:r w:rsidRPr="005D7119">
        <w:rPr>
          <w:rFonts w:cs="Times New Roman"/>
        </w:rPr>
        <w:t xml:space="preserve">cells per well in 96 well plates. MTT was </w:t>
      </w:r>
      <w:r>
        <w:rPr>
          <w:rFonts w:cs="Times New Roman"/>
        </w:rPr>
        <w:t xml:space="preserve">performed </w:t>
      </w:r>
      <w:r w:rsidRPr="005D7119">
        <w:rPr>
          <w:rFonts w:cs="Times New Roman"/>
        </w:rPr>
        <w:t>at 0, 24, 48</w:t>
      </w:r>
      <w:r>
        <w:rPr>
          <w:rFonts w:cs="Times New Roman"/>
        </w:rPr>
        <w:t xml:space="preserve"> and 72h </w:t>
      </w:r>
      <w:r w:rsidRPr="005D7119">
        <w:rPr>
          <w:rFonts w:cs="Times New Roman"/>
        </w:rPr>
        <w:t xml:space="preserve">time-points. </w:t>
      </w:r>
      <w:r>
        <w:rPr>
          <w:rFonts w:cs="Times New Roman"/>
        </w:rPr>
        <w:t xml:space="preserve">Optical density </w:t>
      </w:r>
      <w:r w:rsidRPr="005D7119">
        <w:rPr>
          <w:rFonts w:cs="Times New Roman"/>
        </w:rPr>
        <w:t xml:space="preserve">was </w:t>
      </w:r>
      <w:r>
        <w:rPr>
          <w:rFonts w:cs="Times New Roman"/>
        </w:rPr>
        <w:t>measured a</w:t>
      </w:r>
      <w:r w:rsidRPr="005D7119">
        <w:rPr>
          <w:rFonts w:cs="Times New Roman"/>
        </w:rPr>
        <w:t xml:space="preserve">t 570 nm using Infinite 200 Pro multi-reader (Tecan Group Ltd, Morrisville, NC). For </w:t>
      </w:r>
      <w:r>
        <w:rPr>
          <w:rFonts w:cs="Times New Roman"/>
        </w:rPr>
        <w:t xml:space="preserve">the </w:t>
      </w:r>
      <w:r w:rsidRPr="005D7119">
        <w:rPr>
          <w:rFonts w:cs="Times New Roman"/>
        </w:rPr>
        <w:t xml:space="preserve">colony formation assay, 500 cells were seeded in each well of 6 well plates and incubated for 10 days. The colonies were stained with crystal violet and counted. </w:t>
      </w:r>
    </w:p>
    <w:p w:rsidR="00F64820" w:rsidRPr="005D7119" w:rsidRDefault="00F64820" w:rsidP="00F64820">
      <w:pPr>
        <w:spacing w:before="240" w:after="0" w:line="360" w:lineRule="auto"/>
        <w:jc w:val="both"/>
        <w:rPr>
          <w:rFonts w:cs="Times New Roman"/>
          <w:color w:val="0070C0"/>
        </w:rPr>
      </w:pPr>
      <w:r w:rsidRPr="005D7119">
        <w:rPr>
          <w:rFonts w:cs="Times New Roman"/>
          <w:color w:val="0070C0"/>
        </w:rPr>
        <w:t>Cell invasion, migration and apoptosis assay</w:t>
      </w:r>
    </w:p>
    <w:p w:rsidR="00F64820" w:rsidRDefault="00F64820" w:rsidP="00F64820">
      <w:pPr>
        <w:spacing w:after="0" w:line="360" w:lineRule="auto"/>
        <w:jc w:val="both"/>
        <w:rPr>
          <w:rFonts w:cs="Times New Roman"/>
        </w:rPr>
      </w:pPr>
      <w:r w:rsidRPr="005D7119">
        <w:rPr>
          <w:rFonts w:cs="Times New Roman"/>
        </w:rPr>
        <w:t xml:space="preserve">Migration and invasion assays were performed </w:t>
      </w:r>
      <w:r>
        <w:rPr>
          <w:rFonts w:cs="Times New Roman"/>
        </w:rPr>
        <w:t>in</w:t>
      </w:r>
      <w:r w:rsidRPr="005D7119">
        <w:rPr>
          <w:rFonts w:cs="Times New Roman"/>
        </w:rPr>
        <w:t xml:space="preserve"> Boyden chambers (Corning, Corning, NY) using 8 μm-size pore membrane coated with matrigel (for invasion assays) or without matrigel (for migration assays). Transfected cells in serum-free medium were seeded ont</w:t>
      </w:r>
      <w:r>
        <w:rPr>
          <w:rFonts w:cs="Times New Roman"/>
        </w:rPr>
        <w:t>o each insert at a density of 2x</w:t>
      </w:r>
      <w:r w:rsidRPr="005D7119">
        <w:rPr>
          <w:rFonts w:cs="Times New Roman"/>
        </w:rPr>
        <w:t>10</w:t>
      </w:r>
      <w:r w:rsidRPr="000A5433">
        <w:rPr>
          <w:rFonts w:cs="Times New Roman"/>
          <w:vertAlign w:val="superscript"/>
        </w:rPr>
        <w:t xml:space="preserve">5 </w:t>
      </w:r>
      <w:r w:rsidRPr="005D7119">
        <w:rPr>
          <w:rFonts w:cs="Times New Roman"/>
        </w:rPr>
        <w:t>cells/insert, with culture medium containing 10% FBS in the bottom well. Following 24h incubation, non-invading cells were removed by scraping the top of the membrane. Invaded cells on the bottom of the membrane wer</w:t>
      </w:r>
      <w:r>
        <w:rPr>
          <w:rFonts w:cs="Times New Roman"/>
        </w:rPr>
        <w:t>e then fixed and stained using the D</w:t>
      </w:r>
      <w:r w:rsidRPr="005D7119">
        <w:rPr>
          <w:rFonts w:cs="Times New Roman"/>
        </w:rPr>
        <w:t>iff-quick staining kit (Thermo Scientific, Rockford, IL). Stained cells were counted using a light microscope. For apoptosis assays, Muse Annexin V and dead cell kit</w:t>
      </w:r>
      <w:r>
        <w:rPr>
          <w:rFonts w:cs="Times New Roman"/>
        </w:rPr>
        <w:t>s</w:t>
      </w:r>
      <w:r w:rsidRPr="005D7119">
        <w:rPr>
          <w:rFonts w:cs="Times New Roman"/>
        </w:rPr>
        <w:t xml:space="preserve"> (Millipore, Billerica, MA) were used according to the manufacturer’s instructions.</w:t>
      </w:r>
    </w:p>
    <w:p w:rsidR="00F64820" w:rsidRDefault="00F64820" w:rsidP="00F64820">
      <w:pPr>
        <w:spacing w:after="0" w:line="360" w:lineRule="auto"/>
        <w:jc w:val="both"/>
        <w:rPr>
          <w:rFonts w:cs="Times New Roman"/>
        </w:rPr>
      </w:pPr>
    </w:p>
    <w:p w:rsidR="00F64820" w:rsidRPr="005D7119" w:rsidRDefault="00F64820" w:rsidP="00F64820">
      <w:pPr>
        <w:spacing w:before="240" w:after="0" w:line="360" w:lineRule="auto"/>
        <w:jc w:val="both"/>
        <w:rPr>
          <w:rFonts w:cs="Times New Roman"/>
          <w:color w:val="0070C0"/>
        </w:rPr>
      </w:pPr>
      <w:r>
        <w:rPr>
          <w:rFonts w:cs="Times New Roman"/>
          <w:color w:val="0070C0"/>
        </w:rPr>
        <w:t>Gene expression m</w:t>
      </w:r>
      <w:r w:rsidRPr="005D7119">
        <w:rPr>
          <w:rFonts w:cs="Times New Roman"/>
          <w:color w:val="0070C0"/>
        </w:rPr>
        <w:t xml:space="preserve">icroarray </w:t>
      </w:r>
      <w:r>
        <w:rPr>
          <w:rFonts w:cs="Times New Roman"/>
          <w:color w:val="0070C0"/>
        </w:rPr>
        <w:t>a</w:t>
      </w:r>
      <w:r w:rsidRPr="005D7119">
        <w:rPr>
          <w:rFonts w:cs="Times New Roman"/>
          <w:color w:val="0070C0"/>
        </w:rPr>
        <w:t>nalysis</w:t>
      </w:r>
    </w:p>
    <w:p w:rsidR="009E7460" w:rsidRDefault="00F64820" w:rsidP="00F64820">
      <w:pPr>
        <w:spacing w:after="0" w:line="360" w:lineRule="auto"/>
        <w:jc w:val="both"/>
      </w:pPr>
      <w:r w:rsidRPr="005D7119">
        <w:rPr>
          <w:rFonts w:cs="Times New Roman"/>
        </w:rPr>
        <w:t xml:space="preserve">To investigate </w:t>
      </w:r>
      <w:r>
        <w:rPr>
          <w:rFonts w:cs="Times New Roman"/>
        </w:rPr>
        <w:t xml:space="preserve">the </w:t>
      </w:r>
      <w:r w:rsidRPr="005D7119">
        <w:rPr>
          <w:rFonts w:cs="Times New Roman"/>
        </w:rPr>
        <w:t xml:space="preserve">regulatory role of </w:t>
      </w:r>
      <w:r>
        <w:rPr>
          <w:rFonts w:cs="Times New Roman"/>
        </w:rPr>
        <w:t>piR-1245</w:t>
      </w:r>
      <w:r w:rsidRPr="005D7119">
        <w:rPr>
          <w:rFonts w:cs="Times New Roman"/>
        </w:rPr>
        <w:t xml:space="preserve"> on genome</w:t>
      </w:r>
      <w:r>
        <w:rPr>
          <w:rFonts w:cs="Times New Roman"/>
        </w:rPr>
        <w:t>-wide target</w:t>
      </w:r>
      <w:r w:rsidRPr="005D7119">
        <w:rPr>
          <w:rFonts w:cs="Times New Roman"/>
        </w:rPr>
        <w:t xml:space="preserve"> mRNAs, we treated HCT116 cells with or without </w:t>
      </w:r>
      <w:r>
        <w:rPr>
          <w:rFonts w:cs="Times New Roman"/>
        </w:rPr>
        <w:t>piR-1245</w:t>
      </w:r>
      <w:r w:rsidRPr="005D7119">
        <w:rPr>
          <w:rFonts w:cs="Times New Roman"/>
        </w:rPr>
        <w:t xml:space="preserve"> antisense, and subsequently performed Affymetrix</w:t>
      </w:r>
      <w:r>
        <w:rPr>
          <w:rFonts w:cs="Times New Roman"/>
        </w:rPr>
        <w:t xml:space="preserve"> </w:t>
      </w:r>
      <w:r w:rsidRPr="005D7119">
        <w:rPr>
          <w:rFonts w:cs="Times New Roman"/>
        </w:rPr>
        <w:t>GeneChip Human gene 2.0 ST array</w:t>
      </w:r>
      <w:r>
        <w:rPr>
          <w:rFonts w:cs="Times New Roman"/>
        </w:rPr>
        <w:t>s</w:t>
      </w:r>
      <w:r w:rsidRPr="005D7119">
        <w:rPr>
          <w:rFonts w:cs="Times New Roman"/>
        </w:rPr>
        <w:t>. The microarray probe intensity val</w:t>
      </w:r>
      <w:r>
        <w:rPr>
          <w:rFonts w:cs="Times New Roman"/>
        </w:rPr>
        <w:t xml:space="preserve">ues (CEL files) were background </w:t>
      </w:r>
      <w:r w:rsidRPr="005D7119">
        <w:rPr>
          <w:rFonts w:cs="Times New Roman"/>
        </w:rPr>
        <w:t xml:space="preserve">corrected and normalized by Robust Multiarray Average (RMA) method. Comparison analysis was performed by using </w:t>
      </w:r>
      <w:r>
        <w:rPr>
          <w:rFonts w:cs="Times New Roman"/>
        </w:rPr>
        <w:t xml:space="preserve">the LIMMA Bioconductor </w:t>
      </w:r>
      <w:r w:rsidRPr="005D7119">
        <w:rPr>
          <w:rFonts w:cs="Times New Roman"/>
        </w:rPr>
        <w:t>package to assess the differentia</w:t>
      </w:r>
      <w:r>
        <w:rPr>
          <w:rFonts w:cs="Times New Roman"/>
        </w:rPr>
        <w:t xml:space="preserve">lly </w:t>
      </w:r>
      <w:r w:rsidRPr="005D7119">
        <w:rPr>
          <w:rFonts w:cs="Times New Roman"/>
        </w:rPr>
        <w:t>express</w:t>
      </w:r>
      <w:r>
        <w:rPr>
          <w:rFonts w:cs="Times New Roman"/>
        </w:rPr>
        <w:t>ed</w:t>
      </w:r>
      <w:r w:rsidRPr="005D7119">
        <w:rPr>
          <w:rFonts w:cs="Times New Roman"/>
        </w:rPr>
        <w:t xml:space="preserve"> mRNAs. The genes with ≥1.5 fold change and </w:t>
      </w:r>
      <w:r w:rsidRPr="005D7119">
        <w:rPr>
          <w:rFonts w:cs="Times New Roman"/>
          <w:i/>
        </w:rPr>
        <w:t>P</w:t>
      </w:r>
      <w:r w:rsidRPr="005D7119">
        <w:rPr>
          <w:rFonts w:cs="Times New Roman"/>
        </w:rPr>
        <w:t xml:space="preserve">-value≤0.01 were selected as </w:t>
      </w:r>
      <w:r>
        <w:rPr>
          <w:rFonts w:cs="Times New Roman"/>
        </w:rPr>
        <w:t>candidate targets</w:t>
      </w:r>
      <w:r w:rsidRPr="005D7119">
        <w:rPr>
          <w:rFonts w:cs="Times New Roman"/>
        </w:rPr>
        <w:t>. We performed GO analysis in DAVID for the</w:t>
      </w:r>
      <w:r>
        <w:rPr>
          <w:rFonts w:cs="Times New Roman"/>
        </w:rPr>
        <w:t xml:space="preserve">se </w:t>
      </w:r>
      <w:r w:rsidRPr="005D7119">
        <w:rPr>
          <w:rFonts w:cs="Times New Roman"/>
        </w:rPr>
        <w:t>differentially expressed genes to evaluate the</w:t>
      </w:r>
      <w:r>
        <w:rPr>
          <w:rFonts w:cs="Times New Roman"/>
        </w:rPr>
        <w:t>ir</w:t>
      </w:r>
      <w:r w:rsidRPr="005D7119">
        <w:rPr>
          <w:rFonts w:cs="Times New Roman"/>
        </w:rPr>
        <w:t xml:space="preserve"> enrichment </w:t>
      </w:r>
      <w:r>
        <w:rPr>
          <w:rFonts w:cs="Times New Roman"/>
        </w:rPr>
        <w:t xml:space="preserve">for specific biological </w:t>
      </w:r>
      <w:r w:rsidRPr="005D7119">
        <w:rPr>
          <w:rFonts w:cs="Times New Roman"/>
        </w:rPr>
        <w:t>functions. To g</w:t>
      </w:r>
      <w:r>
        <w:rPr>
          <w:rFonts w:cs="Times New Roman"/>
        </w:rPr>
        <w:t xml:space="preserve">ain further </w:t>
      </w:r>
      <w:r w:rsidRPr="005D7119">
        <w:rPr>
          <w:rFonts w:cs="Times New Roman"/>
        </w:rPr>
        <w:t xml:space="preserve">insight into </w:t>
      </w:r>
      <w:r>
        <w:rPr>
          <w:rFonts w:cs="Times New Roman"/>
        </w:rPr>
        <w:t>piR-1245-</w:t>
      </w:r>
      <w:r w:rsidRPr="005D7119">
        <w:rPr>
          <w:rFonts w:cs="Times New Roman"/>
        </w:rPr>
        <w:t xml:space="preserve">related disease and function networks, we performed QIAGEN’s Ingenuity Pathway Analysis (www.qiagen.com/ingenuity). </w:t>
      </w:r>
    </w:p>
    <w:sectPr w:rsidR="009E7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B1" w:rsidRDefault="00A224B1" w:rsidP="00F64820">
      <w:pPr>
        <w:spacing w:after="0" w:line="240" w:lineRule="auto"/>
      </w:pPr>
      <w:r>
        <w:separator/>
      </w:r>
    </w:p>
  </w:endnote>
  <w:endnote w:type="continuationSeparator" w:id="0">
    <w:p w:rsidR="00A224B1" w:rsidRDefault="00A224B1" w:rsidP="00F6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B1" w:rsidRDefault="00A224B1" w:rsidP="00F64820">
      <w:pPr>
        <w:spacing w:after="0" w:line="240" w:lineRule="auto"/>
      </w:pPr>
      <w:r>
        <w:separator/>
      </w:r>
    </w:p>
  </w:footnote>
  <w:footnote w:type="continuationSeparator" w:id="0">
    <w:p w:rsidR="00A224B1" w:rsidRDefault="00A224B1" w:rsidP="00F64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91"/>
    <w:rsid w:val="000D0BA0"/>
    <w:rsid w:val="00413D63"/>
    <w:rsid w:val="00951C91"/>
    <w:rsid w:val="009E7460"/>
    <w:rsid w:val="00A224B1"/>
    <w:rsid w:val="00E6212C"/>
    <w:rsid w:val="00F609DE"/>
    <w:rsid w:val="00F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01BF12-931A-48DF-A10E-996531A8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20"/>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20"/>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F64820"/>
    <w:rPr>
      <w:sz w:val="18"/>
      <w:szCs w:val="18"/>
    </w:rPr>
  </w:style>
  <w:style w:type="paragraph" w:styleId="Footer">
    <w:name w:val="footer"/>
    <w:basedOn w:val="Normal"/>
    <w:link w:val="FooterChar"/>
    <w:uiPriority w:val="99"/>
    <w:unhideWhenUsed/>
    <w:rsid w:val="00F64820"/>
    <w:pPr>
      <w:widowControl w:val="0"/>
      <w:tabs>
        <w:tab w:val="center" w:pos="4153"/>
        <w:tab w:val="right" w:pos="8306"/>
      </w:tabs>
      <w:snapToGrid w:val="0"/>
      <w:spacing w:after="0" w:line="240" w:lineRule="auto"/>
    </w:pPr>
    <w:rPr>
      <w:kern w:val="2"/>
      <w:sz w:val="18"/>
      <w:szCs w:val="18"/>
      <w:lang w:eastAsia="zh-CN"/>
    </w:rPr>
  </w:style>
  <w:style w:type="character" w:customStyle="1" w:styleId="FooterChar">
    <w:name w:val="Footer Char"/>
    <w:basedOn w:val="DefaultParagraphFont"/>
    <w:link w:val="Footer"/>
    <w:uiPriority w:val="99"/>
    <w:rsid w:val="00F64820"/>
    <w:rPr>
      <w:sz w:val="18"/>
      <w:szCs w:val="18"/>
    </w:rPr>
  </w:style>
  <w:style w:type="character" w:styleId="Hyperlink">
    <w:name w:val="Hyperlink"/>
    <w:basedOn w:val="DefaultParagraphFont"/>
    <w:rsid w:val="00F64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ulatoryrna.org/database/piR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rnabank.ibab.ac.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翁文浩</dc:creator>
  <cp:keywords/>
  <dc:description/>
  <cp:lastModifiedBy>Goel, Ajay</cp:lastModifiedBy>
  <cp:revision>4</cp:revision>
  <dcterms:created xsi:type="dcterms:W3CDTF">2017-07-25T07:39:00Z</dcterms:created>
  <dcterms:modified xsi:type="dcterms:W3CDTF">2017-12-26T21:35:00Z</dcterms:modified>
</cp:coreProperties>
</file>