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6B22" w14:textId="5E40F681" w:rsidR="004C1BF6" w:rsidRDefault="00D020FF" w:rsidP="004C1BF6">
      <w:pPr>
        <w:rPr>
          <w:rFonts w:ascii="Times New Roman" w:hAnsi="Times New Roman" w:cs="Times New Roman"/>
          <w:sz w:val="24"/>
          <w:szCs w:val="24"/>
        </w:rPr>
      </w:pPr>
      <w:bookmarkStart w:id="0" w:name="_Hlk70601094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C1BF6">
        <w:rPr>
          <w:rFonts w:ascii="Times New Roman" w:hAnsi="Times New Roman" w:cs="Times New Roman" w:hint="eastAsia"/>
          <w:sz w:val="24"/>
          <w:szCs w:val="24"/>
        </w:rPr>
        <w:t>T</w:t>
      </w:r>
      <w:r w:rsidR="004C1BF6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4AAA">
        <w:rPr>
          <w:rFonts w:ascii="Times New Roman" w:hAnsi="Times New Roman" w:cs="Times New Roman"/>
          <w:sz w:val="24"/>
          <w:szCs w:val="24"/>
        </w:rPr>
        <w:t>3</w:t>
      </w:r>
      <w:r w:rsidR="004C1BF6">
        <w:rPr>
          <w:rFonts w:ascii="Times New Roman" w:hAnsi="Times New Roman" w:cs="Times New Roman"/>
          <w:sz w:val="24"/>
          <w:szCs w:val="24"/>
        </w:rPr>
        <w:t>. Baseline clinical and pathological characteristics of patients</w:t>
      </w:r>
      <w:r w:rsidR="00D35745">
        <w:rPr>
          <w:rFonts w:ascii="Times New Roman" w:hAnsi="Times New Roman" w:cs="Times New Roman"/>
          <w:sz w:val="24"/>
          <w:szCs w:val="24"/>
        </w:rPr>
        <w:t xml:space="preserve"> in the discovery cohort</w:t>
      </w:r>
      <w:r w:rsidR="004C1BF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149B5EA" w14:textId="77777777" w:rsidR="004C1BF6" w:rsidRDefault="004C1BF6" w:rsidP="004C1B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85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1326"/>
        <w:gridCol w:w="1326"/>
        <w:gridCol w:w="1327"/>
        <w:gridCol w:w="932"/>
      </w:tblGrid>
      <w:tr w:rsidR="004C1BF6" w14:paraId="05254CDA" w14:textId="77777777" w:rsidTr="009D0313">
        <w:tc>
          <w:tcPr>
            <w:tcW w:w="2044" w:type="pct"/>
            <w:tcBorders>
              <w:bottom w:val="single" w:sz="4" w:space="0" w:color="auto"/>
            </w:tcBorders>
          </w:tcPr>
          <w:p w14:paraId="13D4C58D" w14:textId="77777777" w:rsidR="004C1BF6" w:rsidRDefault="004C1BF6" w:rsidP="009D0313"/>
        </w:tc>
        <w:tc>
          <w:tcPr>
            <w:tcW w:w="798" w:type="pct"/>
            <w:tcBorders>
              <w:bottom w:val="single" w:sz="4" w:space="0" w:color="auto"/>
            </w:tcBorders>
          </w:tcPr>
          <w:p w14:paraId="64AB6925" w14:textId="77777777" w:rsidR="004C1BF6" w:rsidRDefault="004C1BF6" w:rsidP="009D0313">
            <w:pPr>
              <w:jc w:val="center"/>
            </w:pPr>
            <w:r>
              <w:t>All</w:t>
            </w:r>
            <w:r>
              <w:rPr>
                <w:rFonts w:hint="eastAsia"/>
                <w:vertAlign w:val="superscript"/>
              </w:rPr>
              <w:t>#</w:t>
            </w:r>
          </w:p>
          <w:p w14:paraId="1EED8FC1" w14:textId="77777777" w:rsidR="004C1BF6" w:rsidRDefault="004C1BF6" w:rsidP="009D0313">
            <w:pPr>
              <w:jc w:val="center"/>
            </w:pPr>
            <w:r>
              <w:t>N=36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AB09464" w14:textId="77777777" w:rsidR="004C1BF6" w:rsidRDefault="004C1BF6" w:rsidP="009D0313">
            <w:pPr>
              <w:jc w:val="center"/>
            </w:pPr>
            <w:r>
              <w:t>Innate resistance</w:t>
            </w:r>
          </w:p>
          <w:p w14:paraId="0339796D" w14:textId="77777777" w:rsidR="004C1BF6" w:rsidRDefault="004C1BF6" w:rsidP="009D0313">
            <w:pPr>
              <w:jc w:val="center"/>
            </w:pPr>
            <w:r>
              <w:t>N=20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4EF40DCF" w14:textId="77777777" w:rsidR="004C1BF6" w:rsidRDefault="004C1BF6" w:rsidP="009D0313">
            <w:pPr>
              <w:jc w:val="center"/>
            </w:pPr>
            <w:r>
              <w:t>Clinical benefit</w:t>
            </w:r>
          </w:p>
          <w:p w14:paraId="03C2956C" w14:textId="77777777" w:rsidR="004C1BF6" w:rsidRDefault="004C1BF6" w:rsidP="009D0313">
            <w:pPr>
              <w:jc w:val="center"/>
            </w:pPr>
            <w:r>
              <w:t>N=15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5AEB04D5" w14:textId="77777777" w:rsidR="004C1BF6" w:rsidRDefault="004C1BF6" w:rsidP="009D03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>
              <w:rPr>
                <w:i/>
                <w:iCs/>
                <w:vertAlign w:val="superscript"/>
              </w:rPr>
              <w:t>*</w:t>
            </w:r>
          </w:p>
        </w:tc>
      </w:tr>
      <w:tr w:rsidR="004C1BF6" w14:paraId="0C29BC12" w14:textId="77777777" w:rsidTr="009D0313">
        <w:tc>
          <w:tcPr>
            <w:tcW w:w="2044" w:type="pct"/>
            <w:tcBorders>
              <w:top w:val="single" w:sz="4" w:space="0" w:color="auto"/>
              <w:bottom w:val="nil"/>
            </w:tcBorders>
          </w:tcPr>
          <w:p w14:paraId="03020923" w14:textId="77777777" w:rsidR="004C1BF6" w:rsidRDefault="004C1BF6" w:rsidP="009D0313">
            <w:r>
              <w:t>Age, n (%)</w:t>
            </w:r>
          </w:p>
          <w:p w14:paraId="00253133" w14:textId="77777777" w:rsidR="004C1BF6" w:rsidRDefault="004C1BF6" w:rsidP="009D0313">
            <w:pPr>
              <w:ind w:firstLineChars="100" w:firstLine="200"/>
            </w:pPr>
            <w:r>
              <w:t>&lt;40</w:t>
            </w:r>
          </w:p>
          <w:p w14:paraId="2DDD2ED3" w14:textId="77777777" w:rsidR="004C1BF6" w:rsidRDefault="004C1BF6" w:rsidP="009D0313">
            <w:pPr>
              <w:ind w:firstLineChars="100" w:firstLine="200"/>
            </w:pPr>
            <w:r>
              <w:t>40-69</w:t>
            </w:r>
          </w:p>
          <w:p w14:paraId="195A0F18" w14:textId="77777777" w:rsidR="004C1BF6" w:rsidRDefault="004C1BF6" w:rsidP="009D0313">
            <w:pPr>
              <w:ind w:firstLineChars="100" w:firstLine="200"/>
            </w:pPr>
            <w:r>
              <w:rPr>
                <w:u w:val="single"/>
              </w:rPr>
              <w:t>&gt;</w:t>
            </w:r>
            <w:r>
              <w:t>70</w:t>
            </w: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2F01C903" w14:textId="77777777" w:rsidR="004C1BF6" w:rsidRDefault="004C1BF6" w:rsidP="009D0313">
            <w:pPr>
              <w:jc w:val="center"/>
            </w:pPr>
          </w:p>
          <w:p w14:paraId="728941E4" w14:textId="77777777" w:rsidR="004C1BF6" w:rsidRDefault="004C1BF6" w:rsidP="009D0313">
            <w:pPr>
              <w:jc w:val="center"/>
            </w:pPr>
            <w:r>
              <w:t>9 (25.0%)</w:t>
            </w:r>
          </w:p>
          <w:p w14:paraId="16B1C4D0" w14:textId="77777777" w:rsidR="004C1BF6" w:rsidRDefault="004C1BF6" w:rsidP="009D0313">
            <w:pPr>
              <w:jc w:val="center"/>
            </w:pPr>
            <w:r>
              <w:t>25 (69.4%)</w:t>
            </w:r>
          </w:p>
          <w:p w14:paraId="3CD81224" w14:textId="77777777" w:rsidR="004C1BF6" w:rsidRDefault="004C1BF6" w:rsidP="009D0313">
            <w:pPr>
              <w:jc w:val="center"/>
            </w:pPr>
            <w:r>
              <w:t>2 (5.6%)</w:t>
            </w: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</w:tcPr>
          <w:p w14:paraId="483CB9DB" w14:textId="77777777" w:rsidR="004C1BF6" w:rsidRDefault="004C1BF6" w:rsidP="009D0313">
            <w:pPr>
              <w:jc w:val="center"/>
            </w:pPr>
          </w:p>
          <w:p w14:paraId="5CB2EB09" w14:textId="77777777" w:rsidR="004C1BF6" w:rsidRDefault="004C1BF6" w:rsidP="009D0313">
            <w:pPr>
              <w:jc w:val="center"/>
            </w:pPr>
            <w:r>
              <w:t>6 (30.0%)</w:t>
            </w:r>
          </w:p>
          <w:p w14:paraId="56EFA85C" w14:textId="77777777" w:rsidR="004C1BF6" w:rsidRDefault="004C1BF6" w:rsidP="009D0313">
            <w:pPr>
              <w:jc w:val="center"/>
            </w:pPr>
            <w:r>
              <w:t>13 (65.0%)</w:t>
            </w:r>
          </w:p>
          <w:p w14:paraId="431AC76F" w14:textId="77777777" w:rsidR="004C1BF6" w:rsidRDefault="004C1BF6" w:rsidP="009D0313">
            <w:pPr>
              <w:jc w:val="center"/>
            </w:pPr>
            <w:r>
              <w:t>1 (5.0%)</w:t>
            </w:r>
          </w:p>
        </w:tc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14:paraId="7561CA62" w14:textId="77777777" w:rsidR="004C1BF6" w:rsidRDefault="004C1BF6" w:rsidP="009D0313">
            <w:pPr>
              <w:jc w:val="center"/>
            </w:pPr>
          </w:p>
          <w:p w14:paraId="439E025E" w14:textId="77777777" w:rsidR="004C1BF6" w:rsidRDefault="004C1BF6" w:rsidP="009D0313">
            <w:pPr>
              <w:jc w:val="center"/>
            </w:pPr>
            <w:r>
              <w:t>2 (13.3%)</w:t>
            </w:r>
          </w:p>
          <w:p w14:paraId="1FCDB83A" w14:textId="77777777" w:rsidR="004C1BF6" w:rsidRDefault="004C1BF6" w:rsidP="009D0313">
            <w:pPr>
              <w:jc w:val="center"/>
            </w:pPr>
            <w:r>
              <w:t>12 (80.0%)</w:t>
            </w:r>
          </w:p>
          <w:p w14:paraId="32214803" w14:textId="77777777" w:rsidR="004C1BF6" w:rsidRDefault="004C1BF6" w:rsidP="009D0313">
            <w:pPr>
              <w:jc w:val="center"/>
            </w:pPr>
            <w:r>
              <w:t>1 (6.7%)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41D464BF" w14:textId="77777777" w:rsidR="004C1BF6" w:rsidRDefault="004C1BF6" w:rsidP="009D0313">
            <w:pPr>
              <w:jc w:val="center"/>
            </w:pPr>
            <w:r>
              <w:t>0.609</w:t>
            </w:r>
          </w:p>
        </w:tc>
      </w:tr>
      <w:tr w:rsidR="004C1BF6" w14:paraId="4A2F968A" w14:textId="77777777" w:rsidTr="009D0313">
        <w:tc>
          <w:tcPr>
            <w:tcW w:w="2044" w:type="pct"/>
            <w:tcBorders>
              <w:top w:val="nil"/>
            </w:tcBorders>
          </w:tcPr>
          <w:p w14:paraId="3820B95C" w14:textId="77777777" w:rsidR="004C1BF6" w:rsidRDefault="004C1BF6" w:rsidP="009D0313">
            <w:r>
              <w:t>Stage at diagnosis, n (%)</w:t>
            </w:r>
          </w:p>
          <w:p w14:paraId="5A73C873" w14:textId="77777777" w:rsidR="004C1BF6" w:rsidRDefault="004C1BF6" w:rsidP="009D0313">
            <w:r>
              <w:t xml:space="preserve">  I</w:t>
            </w:r>
          </w:p>
          <w:p w14:paraId="26DDCF4D" w14:textId="77777777" w:rsidR="004C1BF6" w:rsidRDefault="004C1BF6" w:rsidP="009D0313">
            <w:pPr>
              <w:ind w:firstLineChars="50" w:firstLine="100"/>
            </w:pPr>
            <w:r>
              <w:t xml:space="preserve"> II</w:t>
            </w:r>
          </w:p>
          <w:p w14:paraId="2666898D" w14:textId="77777777" w:rsidR="004C1BF6" w:rsidRDefault="004C1BF6" w:rsidP="009D0313">
            <w:pPr>
              <w:ind w:firstLineChars="50" w:firstLine="100"/>
            </w:pPr>
            <w:r>
              <w:t xml:space="preserve"> III</w:t>
            </w:r>
          </w:p>
          <w:p w14:paraId="46B7B220" w14:textId="77777777" w:rsidR="004C1BF6" w:rsidRDefault="004C1BF6" w:rsidP="009D0313">
            <w:r>
              <w:t xml:space="preserve">  IV</w:t>
            </w:r>
          </w:p>
        </w:tc>
        <w:tc>
          <w:tcPr>
            <w:tcW w:w="798" w:type="pct"/>
            <w:tcBorders>
              <w:top w:val="nil"/>
            </w:tcBorders>
          </w:tcPr>
          <w:p w14:paraId="10394F8B" w14:textId="77777777" w:rsidR="004C1BF6" w:rsidRDefault="004C1BF6" w:rsidP="009D0313">
            <w:pPr>
              <w:jc w:val="center"/>
            </w:pPr>
          </w:p>
          <w:p w14:paraId="01AD39C7" w14:textId="77777777" w:rsidR="004C1BF6" w:rsidRDefault="004C1BF6" w:rsidP="009D0313">
            <w:pPr>
              <w:jc w:val="center"/>
            </w:pPr>
            <w:r>
              <w:t>5 (13.9%)</w:t>
            </w:r>
          </w:p>
          <w:p w14:paraId="6D8E3632" w14:textId="77777777" w:rsidR="004C1BF6" w:rsidRDefault="004C1BF6" w:rsidP="009D0313">
            <w:pPr>
              <w:jc w:val="center"/>
            </w:pPr>
            <w:r>
              <w:t>19 (52.8%)</w:t>
            </w:r>
          </w:p>
          <w:p w14:paraId="03C21122" w14:textId="77777777" w:rsidR="004C1BF6" w:rsidRDefault="004C1BF6" w:rsidP="009D0313">
            <w:pPr>
              <w:jc w:val="center"/>
            </w:pPr>
            <w:r>
              <w:t>3 (8.3%)</w:t>
            </w:r>
          </w:p>
          <w:p w14:paraId="4717FE39" w14:textId="77777777" w:rsidR="004C1BF6" w:rsidRDefault="004C1BF6" w:rsidP="009D0313">
            <w:pPr>
              <w:jc w:val="center"/>
            </w:pPr>
            <w:r>
              <w:t>9 (25.0%)</w:t>
            </w:r>
          </w:p>
        </w:tc>
        <w:tc>
          <w:tcPr>
            <w:tcW w:w="798" w:type="pct"/>
            <w:tcBorders>
              <w:top w:val="nil"/>
            </w:tcBorders>
          </w:tcPr>
          <w:p w14:paraId="7E80A55F" w14:textId="77777777" w:rsidR="004C1BF6" w:rsidRDefault="004C1BF6" w:rsidP="009D0313">
            <w:pPr>
              <w:jc w:val="center"/>
            </w:pPr>
          </w:p>
          <w:p w14:paraId="28553775" w14:textId="77777777" w:rsidR="004C1BF6" w:rsidRDefault="004C1BF6" w:rsidP="009D0313">
            <w:pPr>
              <w:jc w:val="center"/>
            </w:pPr>
            <w:r>
              <w:t>3 (15.0%)</w:t>
            </w:r>
          </w:p>
          <w:p w14:paraId="683D466A" w14:textId="77777777" w:rsidR="004C1BF6" w:rsidRDefault="004C1BF6" w:rsidP="009D0313">
            <w:pPr>
              <w:jc w:val="center"/>
            </w:pPr>
            <w:r>
              <w:t>10 (50.0%)</w:t>
            </w:r>
          </w:p>
          <w:p w14:paraId="11C33238" w14:textId="77777777" w:rsidR="004C1BF6" w:rsidRDefault="004C1BF6" w:rsidP="009D0313">
            <w:pPr>
              <w:jc w:val="center"/>
            </w:pPr>
            <w:r>
              <w:t>3 (15.0%)</w:t>
            </w:r>
          </w:p>
          <w:p w14:paraId="086A3C6E" w14:textId="77777777" w:rsidR="004C1BF6" w:rsidRDefault="004C1BF6" w:rsidP="009D0313">
            <w:pPr>
              <w:jc w:val="center"/>
            </w:pPr>
            <w:r>
              <w:t>4 (20.0%)</w:t>
            </w:r>
          </w:p>
        </w:tc>
        <w:tc>
          <w:tcPr>
            <w:tcW w:w="799" w:type="pct"/>
            <w:tcBorders>
              <w:top w:val="nil"/>
            </w:tcBorders>
          </w:tcPr>
          <w:p w14:paraId="6E9CF045" w14:textId="77777777" w:rsidR="004C1BF6" w:rsidRDefault="004C1BF6" w:rsidP="009D0313">
            <w:pPr>
              <w:jc w:val="center"/>
            </w:pPr>
          </w:p>
          <w:p w14:paraId="15BA7CA2" w14:textId="77777777" w:rsidR="004C1BF6" w:rsidRDefault="004C1BF6" w:rsidP="009D0313">
            <w:pPr>
              <w:jc w:val="center"/>
            </w:pPr>
            <w:r>
              <w:t>2 (13.3%)</w:t>
            </w:r>
          </w:p>
          <w:p w14:paraId="2E4C062E" w14:textId="77777777" w:rsidR="004C1BF6" w:rsidRDefault="004C1BF6" w:rsidP="009D0313">
            <w:pPr>
              <w:jc w:val="center"/>
            </w:pPr>
            <w:r>
              <w:t>9 (60.0%)</w:t>
            </w:r>
          </w:p>
          <w:p w14:paraId="3595D672" w14:textId="77777777" w:rsidR="004C1BF6" w:rsidRDefault="004C1BF6" w:rsidP="009D0313">
            <w:pPr>
              <w:jc w:val="center"/>
            </w:pPr>
            <w:r>
              <w:t>0</w:t>
            </w:r>
          </w:p>
          <w:p w14:paraId="5050B50C" w14:textId="77777777" w:rsidR="004C1BF6" w:rsidRDefault="004C1BF6" w:rsidP="009D0313">
            <w:pPr>
              <w:jc w:val="center"/>
            </w:pPr>
            <w:r>
              <w:t>4 (26.7%)</w:t>
            </w:r>
          </w:p>
        </w:tc>
        <w:tc>
          <w:tcPr>
            <w:tcW w:w="561" w:type="pct"/>
            <w:tcBorders>
              <w:top w:val="nil"/>
            </w:tcBorders>
          </w:tcPr>
          <w:p w14:paraId="433E5AD6" w14:textId="77777777" w:rsidR="004C1BF6" w:rsidRDefault="004C1BF6" w:rsidP="009D0313">
            <w:pPr>
              <w:jc w:val="center"/>
            </w:pPr>
            <w:r>
              <w:t>0.534</w:t>
            </w:r>
          </w:p>
        </w:tc>
      </w:tr>
      <w:tr w:rsidR="004C1BF6" w14:paraId="51BB400A" w14:textId="77777777" w:rsidTr="009D0313">
        <w:tc>
          <w:tcPr>
            <w:tcW w:w="2044" w:type="pct"/>
          </w:tcPr>
          <w:p w14:paraId="1EAEFAF6" w14:textId="77777777" w:rsidR="004C1BF6" w:rsidRDefault="004C1BF6" w:rsidP="009D0313">
            <w:r>
              <w:t>ER/PR status</w:t>
            </w:r>
          </w:p>
          <w:p w14:paraId="39DE6624" w14:textId="77777777" w:rsidR="004C1BF6" w:rsidRDefault="004C1BF6" w:rsidP="009D0313">
            <w:pPr>
              <w:ind w:firstLineChars="100" w:firstLine="200"/>
            </w:pPr>
            <w:r>
              <w:t>ER+PR-</w:t>
            </w:r>
          </w:p>
          <w:p w14:paraId="24014474" w14:textId="77777777" w:rsidR="004C1BF6" w:rsidRDefault="004C1BF6" w:rsidP="009D0313">
            <w:pPr>
              <w:ind w:firstLineChars="100" w:firstLine="200"/>
            </w:pPr>
            <w:r>
              <w:t xml:space="preserve">ER+PR+ </w:t>
            </w:r>
          </w:p>
          <w:p w14:paraId="5FABD3A8" w14:textId="77777777" w:rsidR="004C1BF6" w:rsidRDefault="004C1BF6" w:rsidP="009D0313">
            <w:pPr>
              <w:ind w:firstLineChars="100" w:firstLine="200"/>
            </w:pPr>
            <w:r>
              <w:t>ER-PR+</w:t>
            </w:r>
          </w:p>
        </w:tc>
        <w:tc>
          <w:tcPr>
            <w:tcW w:w="798" w:type="pct"/>
          </w:tcPr>
          <w:p w14:paraId="5DE3B2BD" w14:textId="77777777" w:rsidR="004C1BF6" w:rsidRDefault="004C1BF6" w:rsidP="009D0313">
            <w:pPr>
              <w:jc w:val="center"/>
            </w:pPr>
          </w:p>
          <w:p w14:paraId="034CED48" w14:textId="77777777" w:rsidR="004C1BF6" w:rsidRDefault="004C1BF6" w:rsidP="009D0313">
            <w:pPr>
              <w:jc w:val="center"/>
            </w:pPr>
            <w:r>
              <w:t>12 (33.3%)</w:t>
            </w:r>
          </w:p>
          <w:p w14:paraId="393796DC" w14:textId="77777777" w:rsidR="004C1BF6" w:rsidRDefault="004C1BF6" w:rsidP="009D0313">
            <w:pPr>
              <w:jc w:val="center"/>
            </w:pPr>
            <w:r>
              <w:t>23 (63.9%)</w:t>
            </w:r>
          </w:p>
          <w:p w14:paraId="24A33624" w14:textId="77777777" w:rsidR="004C1BF6" w:rsidRDefault="004C1BF6" w:rsidP="009D0313">
            <w:pPr>
              <w:jc w:val="center"/>
            </w:pPr>
            <w:r>
              <w:t>1 (2.8%)</w:t>
            </w:r>
          </w:p>
        </w:tc>
        <w:tc>
          <w:tcPr>
            <w:tcW w:w="798" w:type="pct"/>
          </w:tcPr>
          <w:p w14:paraId="2460C0BF" w14:textId="77777777" w:rsidR="004C1BF6" w:rsidRDefault="004C1BF6" w:rsidP="009D0313">
            <w:pPr>
              <w:jc w:val="center"/>
            </w:pPr>
          </w:p>
          <w:p w14:paraId="2ECF25AC" w14:textId="77777777" w:rsidR="004C1BF6" w:rsidRDefault="004C1BF6" w:rsidP="009D0313">
            <w:pPr>
              <w:jc w:val="center"/>
            </w:pPr>
            <w:r>
              <w:t>4 (20.0%)</w:t>
            </w:r>
          </w:p>
          <w:p w14:paraId="5BE4F97F" w14:textId="77777777" w:rsidR="004C1BF6" w:rsidRDefault="004C1BF6" w:rsidP="009D0313">
            <w:pPr>
              <w:jc w:val="center"/>
            </w:pPr>
            <w:r>
              <w:t>15 (75.0%)</w:t>
            </w:r>
          </w:p>
          <w:p w14:paraId="7A4457F2" w14:textId="77777777" w:rsidR="004C1BF6" w:rsidRDefault="004C1BF6" w:rsidP="009D0313">
            <w:pPr>
              <w:jc w:val="center"/>
            </w:pPr>
            <w:r>
              <w:t>1 (5.0%)</w:t>
            </w:r>
          </w:p>
        </w:tc>
        <w:tc>
          <w:tcPr>
            <w:tcW w:w="799" w:type="pct"/>
          </w:tcPr>
          <w:p w14:paraId="2AEEE4D0" w14:textId="77777777" w:rsidR="004C1BF6" w:rsidRDefault="004C1BF6" w:rsidP="009D0313">
            <w:pPr>
              <w:jc w:val="center"/>
            </w:pPr>
          </w:p>
          <w:p w14:paraId="29CCC9D1" w14:textId="77777777" w:rsidR="004C1BF6" w:rsidRDefault="004C1BF6" w:rsidP="009D0313">
            <w:pPr>
              <w:jc w:val="center"/>
            </w:pPr>
            <w:r>
              <w:t>8 (53.3%)</w:t>
            </w:r>
          </w:p>
          <w:p w14:paraId="306730FE" w14:textId="77777777" w:rsidR="004C1BF6" w:rsidRDefault="004C1BF6" w:rsidP="009D0313">
            <w:pPr>
              <w:jc w:val="center"/>
            </w:pPr>
            <w:r>
              <w:t>7 (46.7%)</w:t>
            </w:r>
          </w:p>
          <w:p w14:paraId="01CF407E" w14:textId="77777777" w:rsidR="004C1BF6" w:rsidRDefault="004C1BF6" w:rsidP="009D0313">
            <w:pPr>
              <w:jc w:val="center"/>
            </w:pPr>
            <w:r>
              <w:t>0</w:t>
            </w:r>
          </w:p>
        </w:tc>
        <w:tc>
          <w:tcPr>
            <w:tcW w:w="561" w:type="pct"/>
          </w:tcPr>
          <w:p w14:paraId="06E9C871" w14:textId="77777777" w:rsidR="004C1BF6" w:rsidRDefault="004C1BF6" w:rsidP="009D0313">
            <w:pPr>
              <w:jc w:val="center"/>
            </w:pPr>
            <w:r>
              <w:t>0.071</w:t>
            </w:r>
          </w:p>
        </w:tc>
      </w:tr>
      <w:tr w:rsidR="004C1BF6" w14:paraId="7C83A1F3" w14:textId="77777777" w:rsidTr="009D0313">
        <w:tc>
          <w:tcPr>
            <w:tcW w:w="2044" w:type="pct"/>
          </w:tcPr>
          <w:p w14:paraId="179497D1" w14:textId="77777777" w:rsidR="004C1BF6" w:rsidRDefault="004C1BF6" w:rsidP="009D0313">
            <w:r>
              <w:t>Visceral metastasis</w:t>
            </w:r>
          </w:p>
          <w:p w14:paraId="3A90EF76" w14:textId="77777777" w:rsidR="004C1BF6" w:rsidRDefault="004C1BF6" w:rsidP="009D0313">
            <w:r>
              <w:t xml:space="preserve">  Yes</w:t>
            </w:r>
          </w:p>
          <w:p w14:paraId="653F6718" w14:textId="77777777" w:rsidR="004C1BF6" w:rsidRDefault="004C1BF6" w:rsidP="009D0313">
            <w:r>
              <w:t xml:space="preserve">  No</w:t>
            </w:r>
          </w:p>
        </w:tc>
        <w:tc>
          <w:tcPr>
            <w:tcW w:w="798" w:type="pct"/>
          </w:tcPr>
          <w:p w14:paraId="4C62ECC5" w14:textId="77777777" w:rsidR="004C1BF6" w:rsidRDefault="004C1BF6" w:rsidP="009D0313">
            <w:pPr>
              <w:jc w:val="center"/>
            </w:pPr>
          </w:p>
          <w:p w14:paraId="0A220E5F" w14:textId="77777777" w:rsidR="004C1BF6" w:rsidRDefault="004C1BF6" w:rsidP="009D0313">
            <w:pPr>
              <w:jc w:val="center"/>
            </w:pPr>
            <w:r>
              <w:t>27 (75.0%)</w:t>
            </w:r>
          </w:p>
          <w:p w14:paraId="578E0CF4" w14:textId="77777777" w:rsidR="004C1BF6" w:rsidRDefault="004C1BF6" w:rsidP="009D0313">
            <w:pPr>
              <w:jc w:val="center"/>
            </w:pPr>
            <w:r>
              <w:t>9 (25.0%)</w:t>
            </w:r>
          </w:p>
        </w:tc>
        <w:tc>
          <w:tcPr>
            <w:tcW w:w="798" w:type="pct"/>
          </w:tcPr>
          <w:p w14:paraId="7F93E08D" w14:textId="77777777" w:rsidR="004C1BF6" w:rsidRDefault="004C1BF6" w:rsidP="009D0313">
            <w:pPr>
              <w:jc w:val="center"/>
            </w:pPr>
          </w:p>
          <w:p w14:paraId="671A8159" w14:textId="77777777" w:rsidR="004C1BF6" w:rsidRDefault="004C1BF6" w:rsidP="009D0313">
            <w:pPr>
              <w:jc w:val="center"/>
            </w:pPr>
            <w:r>
              <w:t>16 (80%)</w:t>
            </w:r>
          </w:p>
          <w:p w14:paraId="7EE1248C" w14:textId="77777777" w:rsidR="004C1BF6" w:rsidRDefault="004C1BF6" w:rsidP="009D0313">
            <w:pPr>
              <w:jc w:val="center"/>
            </w:pPr>
            <w:r>
              <w:t>4 (20.0%)</w:t>
            </w:r>
          </w:p>
        </w:tc>
        <w:tc>
          <w:tcPr>
            <w:tcW w:w="799" w:type="pct"/>
          </w:tcPr>
          <w:p w14:paraId="1E43FA4F" w14:textId="77777777" w:rsidR="004C1BF6" w:rsidRDefault="004C1BF6" w:rsidP="009D0313">
            <w:pPr>
              <w:jc w:val="center"/>
            </w:pPr>
          </w:p>
          <w:p w14:paraId="30E66E75" w14:textId="77777777" w:rsidR="004C1BF6" w:rsidRDefault="004C1BF6" w:rsidP="009D0313">
            <w:pPr>
              <w:jc w:val="center"/>
            </w:pPr>
            <w:r>
              <w:t>10 (66.7%)</w:t>
            </w:r>
          </w:p>
          <w:p w14:paraId="13285C78" w14:textId="77777777" w:rsidR="004C1BF6" w:rsidRDefault="004C1BF6" w:rsidP="009D0313">
            <w:pPr>
              <w:jc w:val="center"/>
            </w:pPr>
            <w:r>
              <w:t>5 (33.3%)</w:t>
            </w:r>
          </w:p>
        </w:tc>
        <w:tc>
          <w:tcPr>
            <w:tcW w:w="561" w:type="pct"/>
          </w:tcPr>
          <w:p w14:paraId="0E701288" w14:textId="77777777" w:rsidR="004C1BF6" w:rsidRDefault="004C1BF6" w:rsidP="009D0313">
            <w:pPr>
              <w:jc w:val="center"/>
            </w:pPr>
            <w:r>
              <w:t>0.451</w:t>
            </w:r>
          </w:p>
        </w:tc>
      </w:tr>
      <w:tr w:rsidR="004C1BF6" w14:paraId="659814D8" w14:textId="77777777" w:rsidTr="009D0313">
        <w:tc>
          <w:tcPr>
            <w:tcW w:w="2044" w:type="pct"/>
          </w:tcPr>
          <w:p w14:paraId="60E8F078" w14:textId="77777777" w:rsidR="004C1BF6" w:rsidRDefault="004C1BF6" w:rsidP="009D0313">
            <w:r>
              <w:t>Bone-only metastasis</w:t>
            </w:r>
          </w:p>
          <w:p w14:paraId="635E1BE9" w14:textId="77777777" w:rsidR="004C1BF6" w:rsidRDefault="004C1BF6" w:rsidP="009D0313">
            <w:r>
              <w:t xml:space="preserve">  Yes</w:t>
            </w:r>
          </w:p>
          <w:p w14:paraId="2C619E33" w14:textId="77777777" w:rsidR="004C1BF6" w:rsidRDefault="004C1BF6" w:rsidP="009D0313">
            <w:r>
              <w:t xml:space="preserve">  No</w:t>
            </w:r>
          </w:p>
        </w:tc>
        <w:tc>
          <w:tcPr>
            <w:tcW w:w="798" w:type="pct"/>
          </w:tcPr>
          <w:p w14:paraId="37FEDB3A" w14:textId="77777777" w:rsidR="004C1BF6" w:rsidRDefault="004C1BF6" w:rsidP="009D0313">
            <w:pPr>
              <w:jc w:val="center"/>
            </w:pPr>
          </w:p>
          <w:p w14:paraId="472D0B99" w14:textId="77777777" w:rsidR="004C1BF6" w:rsidRDefault="004C1BF6" w:rsidP="009D0313">
            <w:pPr>
              <w:jc w:val="center"/>
            </w:pPr>
            <w:r>
              <w:t>1 (2.8%)</w:t>
            </w:r>
          </w:p>
          <w:p w14:paraId="2622CA05" w14:textId="77777777" w:rsidR="004C1BF6" w:rsidRDefault="004C1BF6" w:rsidP="009D0313">
            <w:pPr>
              <w:jc w:val="center"/>
            </w:pPr>
            <w:r>
              <w:t>35 (97.2%)</w:t>
            </w:r>
          </w:p>
        </w:tc>
        <w:tc>
          <w:tcPr>
            <w:tcW w:w="798" w:type="pct"/>
          </w:tcPr>
          <w:p w14:paraId="1FACE8B3" w14:textId="77777777" w:rsidR="004C1BF6" w:rsidRDefault="004C1BF6" w:rsidP="009D0313">
            <w:pPr>
              <w:jc w:val="center"/>
            </w:pPr>
          </w:p>
          <w:p w14:paraId="4767EE6C" w14:textId="77777777" w:rsidR="004C1BF6" w:rsidRDefault="004C1BF6" w:rsidP="009D0313">
            <w:pPr>
              <w:jc w:val="center"/>
            </w:pPr>
            <w:r>
              <w:t>0</w:t>
            </w:r>
          </w:p>
          <w:p w14:paraId="79328570" w14:textId="77777777" w:rsidR="004C1BF6" w:rsidRDefault="004C1BF6" w:rsidP="009D0313">
            <w:pPr>
              <w:jc w:val="center"/>
            </w:pPr>
            <w:r>
              <w:t>20 (100.0%)</w:t>
            </w:r>
          </w:p>
        </w:tc>
        <w:tc>
          <w:tcPr>
            <w:tcW w:w="799" w:type="pct"/>
          </w:tcPr>
          <w:p w14:paraId="22362295" w14:textId="77777777" w:rsidR="004C1BF6" w:rsidRDefault="004C1BF6" w:rsidP="009D0313">
            <w:pPr>
              <w:jc w:val="center"/>
            </w:pPr>
          </w:p>
          <w:p w14:paraId="11D98294" w14:textId="77777777" w:rsidR="004C1BF6" w:rsidRDefault="004C1BF6" w:rsidP="009D0313">
            <w:pPr>
              <w:jc w:val="center"/>
            </w:pPr>
            <w:r>
              <w:t>1 (6.7%)</w:t>
            </w:r>
          </w:p>
          <w:p w14:paraId="60731013" w14:textId="77777777" w:rsidR="004C1BF6" w:rsidRDefault="004C1BF6" w:rsidP="009D0313">
            <w:pPr>
              <w:jc w:val="center"/>
            </w:pPr>
            <w:r>
              <w:t>14 (93.3%)</w:t>
            </w:r>
          </w:p>
        </w:tc>
        <w:tc>
          <w:tcPr>
            <w:tcW w:w="561" w:type="pct"/>
          </w:tcPr>
          <w:p w14:paraId="393C9E77" w14:textId="77777777" w:rsidR="004C1BF6" w:rsidRDefault="004C1BF6" w:rsidP="009D0313">
            <w:pPr>
              <w:jc w:val="center"/>
            </w:pPr>
            <w:r>
              <w:t>0.429</w:t>
            </w:r>
          </w:p>
        </w:tc>
      </w:tr>
      <w:tr w:rsidR="004C1BF6" w14:paraId="4371BA09" w14:textId="77777777" w:rsidTr="009D0313">
        <w:tc>
          <w:tcPr>
            <w:tcW w:w="2044" w:type="pct"/>
          </w:tcPr>
          <w:p w14:paraId="1664859A" w14:textId="77777777" w:rsidR="004C1BF6" w:rsidRDefault="004C1BF6" w:rsidP="009D0313">
            <w:r>
              <w:t>Combined endocrine therapy</w:t>
            </w:r>
          </w:p>
          <w:p w14:paraId="29662456" w14:textId="77777777" w:rsidR="004C1BF6" w:rsidRDefault="004C1BF6" w:rsidP="009D0313">
            <w:r>
              <w:t xml:space="preserve">  Fulvestrant</w:t>
            </w:r>
          </w:p>
          <w:p w14:paraId="4E8CC458" w14:textId="77777777" w:rsidR="004C1BF6" w:rsidRDefault="004C1BF6" w:rsidP="009D0313">
            <w:r>
              <w:t xml:space="preserve">  Letrozole</w:t>
            </w:r>
          </w:p>
          <w:p w14:paraId="09553A4A" w14:textId="77777777" w:rsidR="004C1BF6" w:rsidRDefault="004C1BF6" w:rsidP="009D0313">
            <w:r>
              <w:t xml:space="preserve">  Exemestane</w:t>
            </w:r>
          </w:p>
          <w:p w14:paraId="25A9E5F4" w14:textId="77777777" w:rsidR="004C1BF6" w:rsidRDefault="004C1BF6" w:rsidP="009D0313">
            <w:r>
              <w:t xml:space="preserve">  Anastrozole</w:t>
            </w:r>
          </w:p>
        </w:tc>
        <w:tc>
          <w:tcPr>
            <w:tcW w:w="798" w:type="pct"/>
          </w:tcPr>
          <w:p w14:paraId="01E7768B" w14:textId="77777777" w:rsidR="004C1BF6" w:rsidRDefault="004C1BF6" w:rsidP="009D0313">
            <w:pPr>
              <w:jc w:val="center"/>
            </w:pPr>
          </w:p>
          <w:p w14:paraId="27BB6F1D" w14:textId="77777777" w:rsidR="004C1BF6" w:rsidRDefault="004C1BF6" w:rsidP="009D0313">
            <w:pPr>
              <w:jc w:val="center"/>
            </w:pPr>
            <w:r>
              <w:t>18 (50.0%)</w:t>
            </w:r>
          </w:p>
          <w:p w14:paraId="5CA2835A" w14:textId="77777777" w:rsidR="004C1BF6" w:rsidRDefault="004C1BF6" w:rsidP="009D0313">
            <w:pPr>
              <w:jc w:val="center"/>
            </w:pPr>
            <w:r>
              <w:t>10 (27.8%)</w:t>
            </w:r>
          </w:p>
          <w:p w14:paraId="6196000A" w14:textId="77777777" w:rsidR="004C1BF6" w:rsidRDefault="004C1BF6" w:rsidP="009D0313">
            <w:pPr>
              <w:jc w:val="center"/>
            </w:pPr>
            <w:r>
              <w:t>5 (13.9%)</w:t>
            </w:r>
          </w:p>
          <w:p w14:paraId="528C727F" w14:textId="77777777" w:rsidR="004C1BF6" w:rsidRDefault="004C1BF6" w:rsidP="009D0313">
            <w:pPr>
              <w:jc w:val="center"/>
            </w:pPr>
            <w:r>
              <w:t>3 (8.3%)</w:t>
            </w:r>
          </w:p>
        </w:tc>
        <w:tc>
          <w:tcPr>
            <w:tcW w:w="798" w:type="pct"/>
          </w:tcPr>
          <w:p w14:paraId="71115D6E" w14:textId="77777777" w:rsidR="004C1BF6" w:rsidRDefault="004C1BF6" w:rsidP="009D0313">
            <w:pPr>
              <w:jc w:val="center"/>
            </w:pPr>
          </w:p>
          <w:p w14:paraId="423A495C" w14:textId="77777777" w:rsidR="004C1BF6" w:rsidRDefault="004C1BF6" w:rsidP="009D0313">
            <w:pPr>
              <w:jc w:val="center"/>
            </w:pPr>
            <w:r>
              <w:t>11 (55.0%)</w:t>
            </w:r>
          </w:p>
          <w:p w14:paraId="511D26C3" w14:textId="77777777" w:rsidR="004C1BF6" w:rsidRDefault="004C1BF6" w:rsidP="009D0313">
            <w:pPr>
              <w:jc w:val="center"/>
            </w:pPr>
            <w:r>
              <w:t>4 (20.0%)</w:t>
            </w:r>
          </w:p>
          <w:p w14:paraId="6664E699" w14:textId="77777777" w:rsidR="004C1BF6" w:rsidRDefault="004C1BF6" w:rsidP="009D0313">
            <w:pPr>
              <w:jc w:val="center"/>
            </w:pPr>
            <w:r>
              <w:t>3 (15.0%)</w:t>
            </w:r>
          </w:p>
          <w:p w14:paraId="47EF5AAA" w14:textId="77777777" w:rsidR="004C1BF6" w:rsidRDefault="004C1BF6" w:rsidP="009D0313">
            <w:pPr>
              <w:jc w:val="center"/>
            </w:pPr>
            <w:r>
              <w:t>2 (10.0%)</w:t>
            </w:r>
          </w:p>
        </w:tc>
        <w:tc>
          <w:tcPr>
            <w:tcW w:w="799" w:type="pct"/>
          </w:tcPr>
          <w:p w14:paraId="447618DA" w14:textId="77777777" w:rsidR="004C1BF6" w:rsidRDefault="004C1BF6" w:rsidP="009D0313">
            <w:pPr>
              <w:jc w:val="center"/>
            </w:pPr>
          </w:p>
          <w:p w14:paraId="01A44F05" w14:textId="77777777" w:rsidR="004C1BF6" w:rsidRDefault="004C1BF6" w:rsidP="009D0313">
            <w:pPr>
              <w:jc w:val="center"/>
            </w:pPr>
            <w:r>
              <w:t>6 (40.0%)</w:t>
            </w:r>
          </w:p>
          <w:p w14:paraId="177834E8" w14:textId="77777777" w:rsidR="004C1BF6" w:rsidRDefault="004C1BF6" w:rsidP="009D0313">
            <w:pPr>
              <w:jc w:val="center"/>
            </w:pPr>
            <w:r>
              <w:t>6 (40.0%)</w:t>
            </w:r>
          </w:p>
          <w:p w14:paraId="799263B3" w14:textId="77777777" w:rsidR="004C1BF6" w:rsidRDefault="004C1BF6" w:rsidP="009D0313">
            <w:pPr>
              <w:jc w:val="center"/>
            </w:pPr>
            <w:r>
              <w:t>2 (13.3%)</w:t>
            </w:r>
          </w:p>
          <w:p w14:paraId="0007B0F2" w14:textId="77777777" w:rsidR="004C1BF6" w:rsidRDefault="004C1BF6" w:rsidP="009D0313">
            <w:pPr>
              <w:jc w:val="center"/>
            </w:pPr>
            <w:r>
              <w:t>1 (6.7%)</w:t>
            </w:r>
          </w:p>
        </w:tc>
        <w:tc>
          <w:tcPr>
            <w:tcW w:w="561" w:type="pct"/>
          </w:tcPr>
          <w:p w14:paraId="421BE6CA" w14:textId="77777777" w:rsidR="004C1BF6" w:rsidRDefault="004C1BF6" w:rsidP="009D0313">
            <w:pPr>
              <w:jc w:val="center"/>
            </w:pPr>
            <w:r>
              <w:t>0.665</w:t>
            </w:r>
          </w:p>
        </w:tc>
      </w:tr>
      <w:tr w:rsidR="004C1BF6" w14:paraId="54DBDA76" w14:textId="77777777" w:rsidTr="009D0313">
        <w:tc>
          <w:tcPr>
            <w:tcW w:w="2044" w:type="pct"/>
          </w:tcPr>
          <w:p w14:paraId="7CFACCE6" w14:textId="77777777" w:rsidR="004C1BF6" w:rsidRDefault="004C1BF6" w:rsidP="009D0313">
            <w:r>
              <w:t>Previous lines of therapy, N (%)</w:t>
            </w:r>
          </w:p>
          <w:p w14:paraId="3C938765" w14:textId="77777777" w:rsidR="004C1BF6" w:rsidRDefault="004C1BF6" w:rsidP="009D0313">
            <w:r>
              <w:t xml:space="preserve">  0</w:t>
            </w:r>
            <w:r>
              <w:rPr>
                <w:rFonts w:hint="eastAsia"/>
              </w:rPr>
              <w:t>-</w:t>
            </w:r>
            <w:r>
              <w:t>1</w:t>
            </w:r>
          </w:p>
          <w:p w14:paraId="02BE00A4" w14:textId="77777777" w:rsidR="004C1BF6" w:rsidRDefault="004C1BF6" w:rsidP="009D0313">
            <w:pPr>
              <w:ind w:firstLineChars="50" w:firstLine="100"/>
            </w:pPr>
            <w:r>
              <w:t xml:space="preserve"> 2-4</w:t>
            </w:r>
          </w:p>
          <w:p w14:paraId="4E2B49FA" w14:textId="77777777" w:rsidR="004C1BF6" w:rsidRDefault="004C1BF6" w:rsidP="009D0313">
            <w:pPr>
              <w:ind w:firstLineChars="50" w:firstLine="100"/>
            </w:pPr>
            <w:r>
              <w:t xml:space="preserve"> </w:t>
            </w:r>
            <w:r>
              <w:rPr>
                <w:u w:val="single"/>
              </w:rPr>
              <w:t>&gt;</w:t>
            </w:r>
            <w:r>
              <w:t>5</w:t>
            </w:r>
          </w:p>
        </w:tc>
        <w:tc>
          <w:tcPr>
            <w:tcW w:w="798" w:type="pct"/>
          </w:tcPr>
          <w:p w14:paraId="6DC1D0B7" w14:textId="77777777" w:rsidR="004C1BF6" w:rsidRDefault="004C1BF6" w:rsidP="009D0313">
            <w:pPr>
              <w:jc w:val="center"/>
            </w:pPr>
          </w:p>
          <w:p w14:paraId="3F70E59B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(22.2%)</w:t>
            </w:r>
          </w:p>
          <w:p w14:paraId="69253F27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2</w:t>
            </w:r>
            <w:r>
              <w:t>6 (72.2%)</w:t>
            </w:r>
          </w:p>
          <w:p w14:paraId="54F49ED2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(5.6%)</w:t>
            </w:r>
          </w:p>
        </w:tc>
        <w:tc>
          <w:tcPr>
            <w:tcW w:w="798" w:type="pct"/>
          </w:tcPr>
          <w:p w14:paraId="477DCE75" w14:textId="77777777" w:rsidR="004C1BF6" w:rsidRDefault="004C1BF6" w:rsidP="009D0313">
            <w:pPr>
              <w:jc w:val="center"/>
            </w:pPr>
          </w:p>
          <w:p w14:paraId="4066351F" w14:textId="77777777" w:rsidR="004C1BF6" w:rsidRDefault="004C1BF6" w:rsidP="009D0313">
            <w:pPr>
              <w:jc w:val="center"/>
            </w:pPr>
            <w:r>
              <w:t xml:space="preserve">4 </w:t>
            </w:r>
            <w:r>
              <w:rPr>
                <w:rFonts w:hint="eastAsia"/>
              </w:rPr>
              <w:t>(</w:t>
            </w:r>
            <w:r>
              <w:t>20.0%)</w:t>
            </w:r>
          </w:p>
          <w:p w14:paraId="2C10BF34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1</w:t>
            </w:r>
            <w:r>
              <w:t>5 (75.0%)</w:t>
            </w:r>
          </w:p>
          <w:p w14:paraId="1983F8AC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(5.0%)</w:t>
            </w:r>
          </w:p>
        </w:tc>
        <w:tc>
          <w:tcPr>
            <w:tcW w:w="799" w:type="pct"/>
          </w:tcPr>
          <w:p w14:paraId="76E79C99" w14:textId="77777777" w:rsidR="004C1BF6" w:rsidRDefault="004C1BF6" w:rsidP="009D0313">
            <w:pPr>
              <w:jc w:val="center"/>
            </w:pPr>
          </w:p>
          <w:p w14:paraId="2E6F89AD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(26.7%)</w:t>
            </w:r>
          </w:p>
          <w:p w14:paraId="08018180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1</w:t>
            </w:r>
            <w:r>
              <w:t>0 (66.7%)</w:t>
            </w:r>
          </w:p>
          <w:p w14:paraId="3CD1C233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(6.7%)</w:t>
            </w:r>
          </w:p>
        </w:tc>
        <w:tc>
          <w:tcPr>
            <w:tcW w:w="561" w:type="pct"/>
          </w:tcPr>
          <w:p w14:paraId="5613E8EE" w14:textId="77777777" w:rsidR="004C1BF6" w:rsidRDefault="004C1BF6" w:rsidP="009D0313">
            <w:pPr>
              <w:jc w:val="center"/>
            </w:pPr>
            <w:r>
              <w:rPr>
                <w:rFonts w:hint="eastAsia"/>
              </w:rPr>
              <w:t>0</w:t>
            </w:r>
            <w:r>
              <w:t>.864</w:t>
            </w:r>
          </w:p>
        </w:tc>
      </w:tr>
      <w:tr w:rsidR="004C1BF6" w14:paraId="1C91C192" w14:textId="77777777" w:rsidTr="009D0313">
        <w:tc>
          <w:tcPr>
            <w:tcW w:w="2044" w:type="pct"/>
            <w:tcBorders>
              <w:bottom w:val="single" w:sz="4" w:space="0" w:color="auto"/>
            </w:tcBorders>
          </w:tcPr>
          <w:p w14:paraId="1158BF35" w14:textId="77777777" w:rsidR="004C1BF6" w:rsidRDefault="004C1BF6" w:rsidP="009D0313">
            <w:r>
              <w:t>Documented sensitivity to prior hormone therapy</w:t>
            </w:r>
          </w:p>
          <w:p w14:paraId="14ABFBAB" w14:textId="77777777" w:rsidR="004C1BF6" w:rsidRDefault="004C1BF6" w:rsidP="009D0313">
            <w:r>
              <w:t xml:space="preserve">  Yes</w:t>
            </w:r>
          </w:p>
          <w:p w14:paraId="24E2976E" w14:textId="77777777" w:rsidR="004C1BF6" w:rsidRDefault="004C1BF6" w:rsidP="009D0313">
            <w:r>
              <w:t xml:space="preserve">  No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3D8154E" w14:textId="77777777" w:rsidR="004C1BF6" w:rsidRDefault="004C1BF6" w:rsidP="009D0313">
            <w:pPr>
              <w:jc w:val="center"/>
            </w:pPr>
          </w:p>
          <w:p w14:paraId="33B6099C" w14:textId="77777777" w:rsidR="004C1BF6" w:rsidRDefault="004C1BF6" w:rsidP="009D0313">
            <w:pPr>
              <w:jc w:val="center"/>
            </w:pPr>
          </w:p>
          <w:p w14:paraId="699B68F5" w14:textId="77777777" w:rsidR="004C1BF6" w:rsidRDefault="004C1BF6" w:rsidP="009D0313">
            <w:pPr>
              <w:jc w:val="center"/>
            </w:pPr>
            <w:r>
              <w:t>23 (63.9%)</w:t>
            </w:r>
          </w:p>
          <w:p w14:paraId="0A165D31" w14:textId="77777777" w:rsidR="004C1BF6" w:rsidRDefault="004C1BF6" w:rsidP="009D0313">
            <w:pPr>
              <w:jc w:val="center"/>
            </w:pPr>
            <w:r>
              <w:t>13 (36.1%)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701E0A4" w14:textId="77777777" w:rsidR="004C1BF6" w:rsidRDefault="004C1BF6" w:rsidP="009D0313">
            <w:pPr>
              <w:jc w:val="center"/>
            </w:pPr>
          </w:p>
          <w:p w14:paraId="3E13C420" w14:textId="77777777" w:rsidR="004C1BF6" w:rsidRDefault="004C1BF6" w:rsidP="009D0313">
            <w:pPr>
              <w:jc w:val="center"/>
            </w:pPr>
          </w:p>
          <w:p w14:paraId="1757E395" w14:textId="77777777" w:rsidR="004C1BF6" w:rsidRDefault="004C1BF6" w:rsidP="009D0313">
            <w:pPr>
              <w:jc w:val="center"/>
            </w:pPr>
            <w:r>
              <w:t>12 (60.0%)</w:t>
            </w:r>
          </w:p>
          <w:p w14:paraId="21C28A72" w14:textId="77777777" w:rsidR="004C1BF6" w:rsidRDefault="004C1BF6" w:rsidP="009D0313">
            <w:pPr>
              <w:jc w:val="center"/>
            </w:pPr>
            <w:r>
              <w:t>8 (40.0%)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3F45FD8C" w14:textId="77777777" w:rsidR="004C1BF6" w:rsidRDefault="004C1BF6" w:rsidP="009D0313">
            <w:pPr>
              <w:jc w:val="center"/>
            </w:pPr>
          </w:p>
          <w:p w14:paraId="7B1CBE4B" w14:textId="77777777" w:rsidR="004C1BF6" w:rsidRDefault="004C1BF6" w:rsidP="009D0313">
            <w:pPr>
              <w:jc w:val="center"/>
            </w:pPr>
          </w:p>
          <w:p w14:paraId="18BD4CAB" w14:textId="77777777" w:rsidR="004C1BF6" w:rsidRDefault="004C1BF6" w:rsidP="009D0313">
            <w:pPr>
              <w:jc w:val="center"/>
            </w:pPr>
            <w:r>
              <w:t>10 (66.7%)</w:t>
            </w:r>
          </w:p>
          <w:p w14:paraId="3132F4B1" w14:textId="77777777" w:rsidR="004C1BF6" w:rsidRDefault="004C1BF6" w:rsidP="009D0313">
            <w:pPr>
              <w:jc w:val="center"/>
            </w:pPr>
            <w:r>
              <w:t>5 (33.3%)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0AE20977" w14:textId="77777777" w:rsidR="004C1BF6" w:rsidRDefault="004C1BF6" w:rsidP="009D0313">
            <w:pPr>
              <w:jc w:val="center"/>
            </w:pPr>
            <w:r>
              <w:t>0.737</w:t>
            </w:r>
          </w:p>
        </w:tc>
      </w:tr>
      <w:tr w:rsidR="004C1BF6" w14:paraId="7478C8B0" w14:textId="77777777" w:rsidTr="009D031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BBBF61" w14:textId="77777777" w:rsidR="004C1BF6" w:rsidRDefault="004C1BF6" w:rsidP="009D0313">
            <w:pPr>
              <w:jc w:val="left"/>
            </w:pPr>
            <w:r>
              <w:rPr>
                <w:rFonts w:hint="eastAsia"/>
                <w:vertAlign w:val="superscript"/>
              </w:rPr>
              <w:t>#</w:t>
            </w:r>
            <w:r>
              <w:t>o</w:t>
            </w:r>
            <w:r>
              <w:rPr>
                <w:rFonts w:hint="eastAsia"/>
              </w:rPr>
              <w:t>ne</w:t>
            </w:r>
            <w:r>
              <w:t xml:space="preserve"> </w:t>
            </w:r>
            <w:r>
              <w:rPr>
                <w:rFonts w:hint="eastAsia"/>
              </w:rPr>
              <w:t>out</w:t>
            </w:r>
            <w:r>
              <w:t xml:space="preserve"> of 36 patients interrupted treatment due to toxicity, thus was not included in the subsequent data sets for efficacy evaluation </w:t>
            </w:r>
          </w:p>
          <w:p w14:paraId="23A9AEB4" w14:textId="77777777" w:rsidR="004C1BF6" w:rsidRDefault="004C1BF6" w:rsidP="009D0313">
            <w:pPr>
              <w:jc w:val="left"/>
            </w:pPr>
            <w:r>
              <w:t>*compared between patients with innate resistance and those benefit from CDK4/6 inhibitor</w:t>
            </w:r>
          </w:p>
          <w:p w14:paraId="3F9FE74A" w14:textId="6DE2D909" w:rsidR="004C1BF6" w:rsidRDefault="004C1BF6" w:rsidP="009D0313">
            <w:pPr>
              <w:jc w:val="left"/>
            </w:pPr>
            <w:r w:rsidRPr="00EC45E4">
              <w:t>ER</w:t>
            </w:r>
            <w:r>
              <w:t>,</w:t>
            </w:r>
            <w:r w:rsidRPr="00EC45E4">
              <w:t xml:space="preserve"> </w:t>
            </w:r>
            <w:r>
              <w:t>e</w:t>
            </w:r>
            <w:r w:rsidRPr="00EC45E4">
              <w:t>strogen receptors</w:t>
            </w:r>
            <w:r>
              <w:t xml:space="preserve">; </w:t>
            </w:r>
            <w:r w:rsidRPr="00EC45E4">
              <w:t>PR</w:t>
            </w:r>
            <w:r>
              <w:t>,</w:t>
            </w:r>
            <w:r w:rsidRPr="00EC45E4">
              <w:t xml:space="preserve"> progesterone receptors</w:t>
            </w:r>
            <w:r>
              <w:t>.</w:t>
            </w:r>
          </w:p>
        </w:tc>
      </w:tr>
    </w:tbl>
    <w:p w14:paraId="786CE1B9" w14:textId="77777777" w:rsidR="00794D88" w:rsidRPr="004C1BF6" w:rsidRDefault="00794D88" w:rsidP="003B71DD"/>
    <w:sectPr w:rsidR="00794D88" w:rsidRPr="004C1B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2E91" w14:textId="77777777" w:rsidR="00526F07" w:rsidRDefault="00526F07" w:rsidP="004C1BF6">
      <w:r>
        <w:separator/>
      </w:r>
    </w:p>
  </w:endnote>
  <w:endnote w:type="continuationSeparator" w:id="0">
    <w:p w14:paraId="65DB1F81" w14:textId="77777777" w:rsidR="00526F07" w:rsidRDefault="00526F07" w:rsidP="004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09682"/>
    </w:sdtPr>
    <w:sdtEndPr/>
    <w:sdtContent>
      <w:sdt>
        <w:sdtPr>
          <w:id w:val="1728636285"/>
        </w:sdtPr>
        <w:sdtEndPr/>
        <w:sdtContent>
          <w:p w14:paraId="251A95E7" w14:textId="77777777" w:rsidR="00B66DEA" w:rsidRDefault="0083035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57AB7" w14:textId="77777777" w:rsidR="00B66DEA" w:rsidRDefault="00526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33E6" w14:textId="77777777" w:rsidR="00526F07" w:rsidRDefault="00526F07" w:rsidP="004C1BF6">
      <w:r>
        <w:separator/>
      </w:r>
    </w:p>
  </w:footnote>
  <w:footnote w:type="continuationSeparator" w:id="0">
    <w:p w14:paraId="4F7BB5EF" w14:textId="77777777" w:rsidR="00526F07" w:rsidRDefault="00526F07" w:rsidP="004C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D"/>
    <w:rsid w:val="00230570"/>
    <w:rsid w:val="002C2110"/>
    <w:rsid w:val="003B71DD"/>
    <w:rsid w:val="004C1BF6"/>
    <w:rsid w:val="00526F07"/>
    <w:rsid w:val="005D1CB3"/>
    <w:rsid w:val="00794D88"/>
    <w:rsid w:val="007F2F69"/>
    <w:rsid w:val="0083035F"/>
    <w:rsid w:val="00894AAA"/>
    <w:rsid w:val="00943B7D"/>
    <w:rsid w:val="00D020FF"/>
    <w:rsid w:val="00D35745"/>
    <w:rsid w:val="00E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3B88C"/>
  <w15:chartTrackingRefBased/>
  <w15:docId w15:val="{4795ECE5-FF36-43FB-A2DF-6BC0A18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43B7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1B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4C1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4C1BF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C1B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1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Hongnan Mo</dc:creator>
  <cp:keywords/>
  <dc:description/>
  <cp:lastModifiedBy>Mo Hongnan</cp:lastModifiedBy>
  <cp:revision>8</cp:revision>
  <dcterms:created xsi:type="dcterms:W3CDTF">2020-09-01T06:36:00Z</dcterms:created>
  <dcterms:modified xsi:type="dcterms:W3CDTF">2022-04-11T08:02:00Z</dcterms:modified>
</cp:coreProperties>
</file>