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BE" w:rsidRDefault="002E167E" w:rsidP="002E167E">
      <w:pPr>
        <w:rPr>
          <w:rFonts w:ascii="Arial" w:hAnsi="Arial" w:cs="Arial"/>
        </w:rPr>
      </w:pPr>
      <w:r>
        <w:rPr>
          <w:rFonts w:ascii="Arial" w:hAnsi="Arial" w:cs="Arial" w:hint="eastAsia"/>
        </w:rPr>
        <w:t>Table1. Variations in efficacy and safety effects of different CAR-T products</w:t>
      </w:r>
    </w:p>
    <w:tbl>
      <w:tblPr>
        <w:tblStyle w:val="TableGrid"/>
        <w:tblW w:w="23071" w:type="dxa"/>
        <w:jc w:val="center"/>
        <w:tblLayout w:type="fixed"/>
        <w:tblLook w:val="04A0" w:firstRow="1" w:lastRow="0" w:firstColumn="1" w:lastColumn="0" w:noHBand="0" w:noVBand="1"/>
      </w:tblPr>
      <w:tblGrid>
        <w:gridCol w:w="2199"/>
        <w:gridCol w:w="1611"/>
        <w:gridCol w:w="1566"/>
        <w:gridCol w:w="1600"/>
        <w:gridCol w:w="1584"/>
        <w:gridCol w:w="1549"/>
        <w:gridCol w:w="1610"/>
        <w:gridCol w:w="1569"/>
        <w:gridCol w:w="2089"/>
        <w:gridCol w:w="1561"/>
        <w:gridCol w:w="2050"/>
        <w:gridCol w:w="2026"/>
        <w:gridCol w:w="2057"/>
      </w:tblGrid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5BE" w:rsidRDefault="00F665BE" w:rsidP="002E167E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</w:rPr>
              <w:t>Kymriah</w:t>
            </w:r>
            <w:proofErr w:type="spellEnd"/>
          </w:p>
        </w:tc>
        <w:tc>
          <w:tcPr>
            <w:tcW w:w="4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</w:rPr>
              <w:t>Yescarta</w:t>
            </w:r>
            <w:proofErr w:type="spellEnd"/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</w:rPr>
              <w:t>Tecartus</w:t>
            </w:r>
            <w:proofErr w:type="spellEnd"/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</w:rPr>
              <w:t>Breyanzi</w:t>
            </w:r>
            <w:proofErr w:type="spellEnd"/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</w:rPr>
              <w:t>Abecma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 w:hint="eastAsia"/>
                <w:szCs w:val="21"/>
              </w:rPr>
              <w:t>Carvykti</w:t>
            </w:r>
            <w:proofErr w:type="spellEnd"/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Target</w:t>
            </w:r>
            <w:r>
              <w:rPr>
                <w:rFonts w:ascii="Calibri" w:hAnsi="Calibri" w:cs="Calibri" w:hint="eastAsia"/>
                <w:szCs w:val="21"/>
              </w:rPr>
              <w:t>/Binder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CD19</w:t>
            </w:r>
            <w:r>
              <w:rPr>
                <w:rFonts w:ascii="Calibri" w:hAnsi="Calibri" w:cs="Calibri" w:hint="eastAsia"/>
                <w:szCs w:val="21"/>
              </w:rPr>
              <w:t>/FMC63</w:t>
            </w: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CD19</w:t>
            </w:r>
            <w:r>
              <w:rPr>
                <w:rFonts w:ascii="Calibri" w:hAnsi="Calibri" w:cs="Calibri" w:hint="eastAsia"/>
                <w:szCs w:val="21"/>
              </w:rPr>
              <w:t>/FMC63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CD19</w:t>
            </w:r>
            <w:r>
              <w:rPr>
                <w:rFonts w:ascii="Calibri" w:hAnsi="Calibri" w:cs="Calibri" w:hint="eastAsia"/>
                <w:szCs w:val="21"/>
              </w:rPr>
              <w:t>/FMC63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CD19</w:t>
            </w:r>
            <w:r>
              <w:rPr>
                <w:rFonts w:ascii="Calibri" w:hAnsi="Calibri" w:cs="Calibri" w:hint="eastAsia"/>
                <w:szCs w:val="21"/>
              </w:rPr>
              <w:t>/FMC63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BCMA</w:t>
            </w:r>
            <w:r>
              <w:rPr>
                <w:rFonts w:ascii="Calibri" w:hAnsi="Calibri" w:cs="Calibri" w:hint="eastAsia"/>
                <w:szCs w:val="21"/>
              </w:rPr>
              <w:t>/C11D5.3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BCMA/VHH-VHH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Co-stimulatory domain 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4-1BB</w:t>
            </w: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CD-28</w:t>
            </w:r>
          </w:p>
        </w:tc>
        <w:tc>
          <w:tcPr>
            <w:tcW w:w="31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CD-28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CD3-ζ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4-1BB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CD3-ζ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4-1BB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CD3-ζ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4-1BB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Signaling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domain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CD3-ζ</w:t>
            </w: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CD3-ζ</w:t>
            </w:r>
          </w:p>
        </w:tc>
        <w:tc>
          <w:tcPr>
            <w:tcW w:w="31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665BE" w:rsidRDefault="00F665BE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36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665BE" w:rsidRDefault="00F665BE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40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665BE" w:rsidRDefault="00F665BE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CD3-</w:t>
            </w:r>
            <w:r>
              <w:rPr>
                <w:rFonts w:ascii="Calibri" w:hAnsi="Calibri" w:cs="Calibri"/>
                <w:szCs w:val="21"/>
              </w:rPr>
              <w:t>ζ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Phase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Phase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Phase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Phase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Phase 1/2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Phase 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Phase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Phase 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Phase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Phase 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Phase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Phase 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Phase 1b/2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Dose level</w:t>
            </w:r>
          </w:p>
          <w:p w:rsidR="00F665BE" w:rsidRDefault="00F665BE" w:rsidP="002E167E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3.1X10</w:t>
            </w:r>
            <w:r>
              <w:rPr>
                <w:rFonts w:ascii="Calibri" w:hAnsi="Calibri" w:cs="Calibri"/>
                <w:szCs w:val="21"/>
                <w:vertAlign w:val="superscript"/>
              </w:rPr>
              <w:t>8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0.6-6</w:t>
            </w:r>
            <w:r>
              <w:rPr>
                <w:rFonts w:ascii="Calibri" w:hAnsi="Calibri" w:cs="Calibri"/>
                <w:szCs w:val="21"/>
              </w:rPr>
              <w:t>X10</w:t>
            </w:r>
            <w:r>
              <w:rPr>
                <w:rFonts w:ascii="Calibri" w:hAnsi="Calibri" w:cs="Calibri"/>
                <w:szCs w:val="21"/>
                <w:vertAlign w:val="superscript"/>
              </w:rPr>
              <w:t>8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</w:t>
            </w:r>
            <w:r>
              <w:rPr>
                <w:rFonts w:ascii="Calibri" w:hAnsi="Calibri" w:cs="Calibri"/>
                <w:szCs w:val="21"/>
              </w:rPr>
              <w:t>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Level1: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50X10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Level2: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100X10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Level3: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150X10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</w:t>
            </w:r>
            <w:r>
              <w:rPr>
                <w:rFonts w:ascii="Calibri" w:hAnsi="Calibri" w:cs="Calibri"/>
                <w:szCs w:val="21"/>
              </w:rPr>
              <w:t>X10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8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Level1: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150X10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Level2: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300X10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Level3: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450X10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Level1: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150X10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Level2: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300X10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Level3: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450X10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or 800</w:t>
            </w:r>
            <w:r>
              <w:rPr>
                <w:rFonts w:ascii="Calibri" w:hAnsi="Calibri" w:cs="Calibri"/>
                <w:szCs w:val="21"/>
              </w:rPr>
              <w:t>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0.75</w:t>
            </w:r>
            <w:r>
              <w:rPr>
                <w:rFonts w:ascii="Calibri" w:hAnsi="Calibri" w:cs="Calibri"/>
                <w:szCs w:val="21"/>
              </w:rPr>
              <w:t>X10</w:t>
            </w:r>
            <w:r>
              <w:rPr>
                <w:rFonts w:ascii="Calibri" w:hAnsi="Calibri" w:cs="Calibri"/>
                <w:szCs w:val="21"/>
                <w:vertAlign w:val="superscript"/>
              </w:rPr>
              <w:t>6</w:t>
            </w:r>
            <w:r>
              <w:rPr>
                <w:rFonts w:ascii="Calibri" w:hAnsi="Calibri" w:cs="Calibri" w:hint="eastAsia"/>
                <w:szCs w:val="2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cells</w:t>
            </w:r>
          </w:p>
          <w:p w:rsidR="00F665BE" w:rsidRDefault="00F665BE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Pathologies </w:t>
            </w:r>
          </w:p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included</w:t>
            </w:r>
          </w:p>
          <w:p w:rsidR="00F665BE" w:rsidRDefault="00F665BE" w:rsidP="002E167E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DLBCL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TFL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FL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DLBCL 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TFL 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PMBCL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FL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MZL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LBCL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MCL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B-ALL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LBCL</w:t>
            </w:r>
            <w:r>
              <w:rPr>
                <w:rFonts w:ascii="Calibri" w:hAnsi="Calibri" w:cs="Calibri" w:hint="eastAsia"/>
                <w:szCs w:val="21"/>
              </w:rPr>
              <w:t xml:space="preserve">, </w:t>
            </w:r>
            <w:r>
              <w:rPr>
                <w:rFonts w:ascii="Calibri" w:hAnsi="Calibri" w:cs="Calibri"/>
                <w:szCs w:val="21"/>
              </w:rPr>
              <w:t>MCL</w:t>
            </w:r>
            <w:r>
              <w:rPr>
                <w:rFonts w:ascii="Calibri" w:hAnsi="Calibri" w:cs="Calibri" w:hint="eastAsia"/>
                <w:szCs w:val="21"/>
              </w:rPr>
              <w:t xml:space="preserve"> (after two lines therapy)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LBCL (after one line therapy)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MM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MM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MM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infused patients </w:t>
            </w:r>
          </w:p>
          <w:p w:rsidR="00F665BE" w:rsidRDefault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(evaluable for analysis)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111 (90)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97 (94)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108 (101)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148 (104)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170 (170)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68 (60)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55 (55)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268 (255)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90 (90)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128 (128)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62 (62)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97 (97)</w:t>
            </w:r>
          </w:p>
        </w:tc>
      </w:tr>
      <w:tr w:rsidR="00F665B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Conditioning </w:t>
            </w:r>
          </w:p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Chemotherapy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  <w:vertAlign w:val="superscript"/>
              </w:rPr>
            </w:pPr>
            <w:r>
              <w:rPr>
                <w:rFonts w:ascii="Calibri" w:hAnsi="Calibri" w:cs="Calibri"/>
                <w:szCs w:val="21"/>
              </w:rPr>
              <w:t>FLU 25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CY 250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  <w:vertAlign w:val="superscript"/>
              </w:rPr>
            </w:pPr>
            <w:r>
              <w:rPr>
                <w:rFonts w:ascii="Calibri" w:hAnsi="Calibri" w:cs="Calibri"/>
                <w:szCs w:val="21"/>
              </w:rPr>
              <w:t>FLU 30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CY 500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  <w:vertAlign w:val="superscript"/>
              </w:rPr>
            </w:pPr>
            <w:r>
              <w:rPr>
                <w:rFonts w:ascii="Calibri" w:hAnsi="Calibri" w:cs="Calibri"/>
                <w:szCs w:val="21"/>
              </w:rPr>
              <w:t>FLU 30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CY 500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  <w:vertAlign w:val="superscript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FLI 25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  <w:p w:rsidR="00F665BE" w:rsidRPr="002E167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 CY 900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  <w:vertAlign w:val="superscript"/>
              </w:rPr>
            </w:pPr>
            <w:r>
              <w:rPr>
                <w:rFonts w:ascii="Calibri" w:hAnsi="Calibri" w:cs="Calibri"/>
                <w:szCs w:val="21"/>
              </w:rPr>
              <w:t>FLU 30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CY 300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  <w:vertAlign w:val="superscript"/>
              </w:rPr>
            </w:pPr>
            <w:r>
              <w:rPr>
                <w:rFonts w:ascii="Calibri" w:hAnsi="Calibri" w:cs="Calibri"/>
                <w:szCs w:val="21"/>
              </w:rPr>
              <w:t>FLU 30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CY 300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  <w:vertAlign w:val="superscript"/>
              </w:rPr>
            </w:pPr>
            <w:r>
              <w:rPr>
                <w:rFonts w:ascii="Calibri" w:hAnsi="Calibri" w:cs="Calibri"/>
                <w:szCs w:val="21"/>
              </w:rPr>
              <w:t>FLU 30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CY 300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mg/m</w:t>
            </w:r>
            <w:r>
              <w:rPr>
                <w:rFonts w:ascii="Calibri" w:hAnsi="Calibri" w:cs="Calibri"/>
                <w:szCs w:val="21"/>
                <w:vertAlign w:val="superscript"/>
              </w:rPr>
              <w:t>2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ORR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52%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86%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83%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92%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83%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93%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NR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73%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86%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73%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76%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97.9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CR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40%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66%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58%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74%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65%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67%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71%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53%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66%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33%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39%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82.5%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CRS (3-4)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22%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11%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7%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6%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15%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24%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 patient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5%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6%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two patients</w:t>
            </w:r>
          </w:p>
        </w:tc>
      </w:tr>
      <w:tr w:rsidR="00F665BE" w:rsidTr="002E167E">
        <w:trPr>
          <w:trHeight w:val="401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ICANS (3-4)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12%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32%</w:t>
            </w:r>
          </w:p>
          <w:p w:rsidR="00F665BE" w:rsidRDefault="00F665BE" w:rsidP="002E167E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19%</w:t>
            </w:r>
          </w:p>
          <w:p w:rsidR="00F665BE" w:rsidRDefault="00F665BE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21%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31%</w:t>
            </w:r>
          </w:p>
          <w:p w:rsidR="00F665BE" w:rsidRDefault="00F665BE" w:rsidP="002E167E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25%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10%</w:t>
            </w:r>
          </w:p>
          <w:p w:rsidR="00F665BE" w:rsidRDefault="00F665BE" w:rsidP="002E167E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4%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3%</w:t>
            </w:r>
          </w:p>
          <w:p w:rsidR="00F665BE" w:rsidRDefault="00F665BE" w:rsidP="002E167E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3%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NR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Clinical Trial</w:t>
            </w:r>
          </w:p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     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JULIET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(NCT02445248)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ELARA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(NCT03568461)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tabs>
                <w:tab w:val="left" w:pos="363"/>
              </w:tabs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ZUMA-1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(NCT02348216)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ZUMA-5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(NCT03105336)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ZUMA-7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(NCT03391466)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ZUMA-2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(NCT02601313)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ZUMA-3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(NCT02614066)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TRANSCEND NHL 001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(NCT02631044)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TRANSFORM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(NCT03575351)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KARMMA</w:t>
            </w:r>
          </w:p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(NCT03361748)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CRB-401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(NCT02658929)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CARTITUDE-1</w:t>
            </w:r>
          </w:p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(NCT03548207)</w:t>
            </w:r>
          </w:p>
        </w:tc>
      </w:tr>
      <w:tr w:rsidR="00F665BE" w:rsidTr="002E167E">
        <w:trPr>
          <w:trHeight w:val="23"/>
          <w:jc w:val="center"/>
        </w:trPr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 w:rsidP="002E167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Reference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NE.Ref.{8FFAF84A-6851-4853-8A24-9C2F9C70688F}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[1, 2]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NE.Ref.{1D7A6AD4-6949-494D-8057-A52E2261E51F}</w:instrText>
            </w:r>
            <w:r>
              <w:rPr>
                <w:rFonts w:ascii="Calibri" w:hAnsi="Calibri" w:cs="Calibri" w:hint="eastAsia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[3]</w:t>
            </w:r>
            <w:r>
              <w:rPr>
                <w:rFonts w:ascii="Calibri" w:hAnsi="Calibri" w:cs="Calibri" w:hint="eastAsia"/>
                <w:szCs w:val="21"/>
              </w:rPr>
              <w:fldChar w:fldCharType="end"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NE.Ref.{4D376B7B-769B-4631-893F-1BC308E72835}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[4]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NE.Ref.{D36CF732-858C-459D-99DC-20E900ABF0A3}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[5]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NE.Ref.{ABC0000B-24C9-4D69-8616-B57CA22A71CA}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[6]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NE.Ref.{AFF1F440-A02C-40FD-A25A-0A25C10B9D76}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[7]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NE.Ref.{C5F4C73B-4623-4E40-A4EC-1909448A0242}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[8]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NE.Ref.{EE3AA3FE-6A04-4D62-BC27-70E1126305D5}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[9]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NE.Ref.{4C72F8E9-100B-4C9D-8A97-42AF644D840C}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[10]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 w:rsidP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NE.Ref.{1971DAFE-6BBC-4DB7-A6F8-80A87108146D}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[11]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NE.Ref.{D5DC6239-7CEA-4127-9150-DE0D3352640A}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[12]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5BE" w:rsidRDefault="002E167E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fldChar w:fldCharType="begin"/>
            </w:r>
            <w:r>
              <w:rPr>
                <w:rFonts w:ascii="Calibri" w:hAnsi="Calibri" w:cs="Calibri" w:hint="eastAsia"/>
                <w:szCs w:val="21"/>
              </w:rPr>
              <w:instrText xml:space="preserve"> ADDIN NE.Ref.{997B6724-BC4A-4FCE-A66C-5DB3EC0BF646}</w:instrText>
            </w:r>
            <w:r>
              <w:rPr>
                <w:rFonts w:ascii="Calibri" w:hAnsi="Calibri" w:cs="Calibri"/>
                <w:szCs w:val="21"/>
              </w:rPr>
              <w:fldChar w:fldCharType="separate"/>
            </w:r>
            <w:r>
              <w:rPr>
                <w:rFonts w:ascii="Calibri" w:eastAsia="Calibri" w:hAnsi="Calibri"/>
                <w:color w:val="080000"/>
              </w:rPr>
              <w:t>[13, 14]</w:t>
            </w:r>
            <w:r>
              <w:rPr>
                <w:rFonts w:ascii="Calibri" w:hAnsi="Calibri" w:cs="Calibri"/>
                <w:szCs w:val="21"/>
              </w:rPr>
              <w:fldChar w:fldCharType="end"/>
            </w:r>
          </w:p>
        </w:tc>
      </w:tr>
    </w:tbl>
    <w:p w:rsidR="00F665BE" w:rsidRDefault="002E167E" w:rsidP="002E167E">
      <w:pPr>
        <w:widowControl/>
        <w:ind w:leftChars="380" w:left="798"/>
        <w:rPr>
          <w:rFonts w:ascii="Calibri" w:eastAsia="AdvPS3E86CB" w:hAnsi="Calibri" w:cs="Calibri"/>
          <w:color w:val="241F20"/>
          <w:kern w:val="0"/>
          <w:szCs w:val="21"/>
          <w:lang w:bidi="ar"/>
        </w:rPr>
      </w:pPr>
      <w:r>
        <w:rPr>
          <w:rFonts w:ascii="Calibri" w:eastAsia="AdvPS3E86CB" w:hAnsi="Calibri" w:cs="Calibri"/>
          <w:color w:val="241F20"/>
          <w:kern w:val="0"/>
          <w:szCs w:val="21"/>
          <w:lang w:bidi="ar"/>
        </w:rPr>
        <w:t>Abbreviations</w:t>
      </w:r>
      <w:r>
        <w:rPr>
          <w:rFonts w:ascii="Calibri" w:eastAsia="AdvPS3E86CB" w:hAnsi="Calibri" w:cs="Calibri" w:hint="eastAsia"/>
          <w:color w:val="241F20"/>
          <w:kern w:val="0"/>
          <w:szCs w:val="21"/>
          <w:lang w:bidi="ar"/>
        </w:rPr>
        <w:t>: DLBCL, diffuse large B-cell lymphoma; TFL, transformed follicular lymphoma; PMBCL, primary mediastinal</w:t>
      </w:r>
      <w:r>
        <w:rPr>
          <w:rFonts w:ascii="Calibri" w:eastAsia="SimSun" w:hAnsi="Calibri" w:cs="Calibri" w:hint="eastAsia"/>
          <w:color w:val="241F20"/>
          <w:kern w:val="0"/>
          <w:szCs w:val="21"/>
          <w:lang w:bidi="ar"/>
        </w:rPr>
        <w:t xml:space="preserve"> </w:t>
      </w:r>
      <w:r>
        <w:rPr>
          <w:rFonts w:ascii="Calibri" w:eastAsia="AdvPS3E86CB" w:hAnsi="Calibri" w:cs="Calibri" w:hint="eastAsia"/>
          <w:color w:val="241F20"/>
          <w:kern w:val="0"/>
          <w:szCs w:val="21"/>
          <w:lang w:bidi="ar"/>
        </w:rPr>
        <w:t>B-cell lymphoma;</w:t>
      </w:r>
      <w:r>
        <w:rPr>
          <w:rFonts w:ascii="Calibri" w:eastAsia="SimSun" w:hAnsi="Calibri" w:cs="Calibri" w:hint="eastAsia"/>
          <w:color w:val="241F20"/>
          <w:kern w:val="0"/>
          <w:szCs w:val="21"/>
          <w:lang w:bidi="ar"/>
        </w:rPr>
        <w:t xml:space="preserve"> FL: follicular lymphoma; MZL: marginal zone lymphoma;</w:t>
      </w:r>
      <w:r>
        <w:rPr>
          <w:rFonts w:ascii="Calibri" w:eastAsia="AdvPS3E86CB" w:hAnsi="Calibri" w:cs="Calibri" w:hint="eastAsia"/>
          <w:color w:val="241F20"/>
          <w:kern w:val="0"/>
          <w:szCs w:val="21"/>
          <w:lang w:bidi="ar"/>
        </w:rPr>
        <w:t xml:space="preserve"> </w:t>
      </w:r>
      <w:r>
        <w:rPr>
          <w:rFonts w:ascii="Calibri" w:eastAsia="SimSun" w:hAnsi="Calibri" w:cs="Calibri" w:hint="eastAsia"/>
          <w:color w:val="241F20"/>
          <w:kern w:val="0"/>
          <w:szCs w:val="21"/>
          <w:lang w:bidi="ar"/>
        </w:rPr>
        <w:t xml:space="preserve">LBCL: large B-cell lymphoma; </w:t>
      </w:r>
      <w:r>
        <w:rPr>
          <w:rFonts w:ascii="Calibri" w:eastAsia="AdvPS3E86CB" w:hAnsi="Calibri" w:cs="Calibri" w:hint="eastAsia"/>
          <w:color w:val="241F20"/>
          <w:kern w:val="0"/>
          <w:szCs w:val="21"/>
          <w:lang w:bidi="ar"/>
        </w:rPr>
        <w:t xml:space="preserve">MCL, mantle cell lymphoma; </w:t>
      </w:r>
      <w:r>
        <w:rPr>
          <w:rFonts w:ascii="Calibri" w:eastAsia="SimSun" w:hAnsi="Calibri" w:cs="Calibri" w:hint="eastAsia"/>
          <w:color w:val="241F20"/>
          <w:kern w:val="0"/>
          <w:szCs w:val="21"/>
          <w:lang w:bidi="ar"/>
        </w:rPr>
        <w:t xml:space="preserve">B-cell precursor acute lymphoblastic </w:t>
      </w:r>
      <w:proofErr w:type="spellStart"/>
      <w:r>
        <w:rPr>
          <w:rFonts w:ascii="Calibri" w:eastAsia="SimSun" w:hAnsi="Calibri" w:cs="Calibri" w:hint="eastAsia"/>
          <w:color w:val="241F20"/>
          <w:kern w:val="0"/>
          <w:szCs w:val="21"/>
          <w:lang w:bidi="ar"/>
        </w:rPr>
        <w:t>leukaemia</w:t>
      </w:r>
      <w:proofErr w:type="spellEnd"/>
      <w:r>
        <w:rPr>
          <w:rFonts w:ascii="Calibri" w:eastAsia="SimSun" w:hAnsi="Calibri" w:cs="Calibri" w:hint="eastAsia"/>
          <w:color w:val="241F20"/>
          <w:kern w:val="0"/>
          <w:szCs w:val="21"/>
          <w:lang w:bidi="ar"/>
        </w:rPr>
        <w:t xml:space="preserve">: B-ALL; NR, not reported; </w:t>
      </w:r>
      <w:r>
        <w:rPr>
          <w:rFonts w:ascii="Calibri" w:eastAsia="AdvPS3E86CB" w:hAnsi="Calibri" w:cs="Calibri" w:hint="eastAsia"/>
          <w:color w:val="241F20"/>
          <w:kern w:val="0"/>
          <w:szCs w:val="21"/>
          <w:lang w:bidi="ar"/>
        </w:rPr>
        <w:t>MM,</w:t>
      </w:r>
      <w:r>
        <w:rPr>
          <w:rFonts w:ascii="Calibri" w:eastAsia="AdvPS3E86CB" w:hAnsi="Calibri" w:cs="Calibri"/>
          <w:color w:val="241F20"/>
          <w:kern w:val="0"/>
          <w:szCs w:val="21"/>
          <w:lang w:bidi="ar"/>
        </w:rPr>
        <w:t xml:space="preserve"> multiple myeloma</w:t>
      </w:r>
      <w:r>
        <w:rPr>
          <w:rFonts w:ascii="Calibri" w:eastAsia="AdvPS3E86CB" w:hAnsi="Calibri" w:cs="Calibri" w:hint="eastAsia"/>
          <w:color w:val="241F20"/>
          <w:kern w:val="0"/>
          <w:szCs w:val="21"/>
          <w:lang w:bidi="ar"/>
        </w:rPr>
        <w:t xml:space="preserve">; FLU, </w:t>
      </w:r>
      <w:proofErr w:type="spellStart"/>
      <w:r>
        <w:rPr>
          <w:rFonts w:ascii="Calibri" w:eastAsia="AdvPS3E86CB" w:hAnsi="Calibri" w:cs="Calibri" w:hint="eastAsia"/>
          <w:color w:val="241F20"/>
          <w:kern w:val="0"/>
          <w:szCs w:val="21"/>
          <w:lang w:bidi="ar"/>
        </w:rPr>
        <w:t>fludarabine</w:t>
      </w:r>
      <w:proofErr w:type="spellEnd"/>
      <w:r>
        <w:rPr>
          <w:rFonts w:ascii="Calibri" w:eastAsia="AdvPS3E86CB" w:hAnsi="Calibri" w:cs="Calibri" w:hint="eastAsia"/>
          <w:color w:val="241F20"/>
          <w:kern w:val="0"/>
          <w:szCs w:val="21"/>
          <w:lang w:bidi="ar"/>
        </w:rPr>
        <w:t>; CY,</w:t>
      </w:r>
      <w:r>
        <w:rPr>
          <w:rFonts w:ascii="Calibri" w:eastAsia="SimSun" w:hAnsi="Calibri" w:cs="Calibri"/>
          <w:color w:val="000000"/>
          <w:kern w:val="0"/>
          <w:szCs w:val="21"/>
          <w:lang w:bidi="ar"/>
        </w:rPr>
        <w:t xml:space="preserve"> </w:t>
      </w:r>
      <w:r>
        <w:rPr>
          <w:rFonts w:ascii="Calibri" w:eastAsia="AdvPS3E86CB" w:hAnsi="Calibri" w:cs="Calibri" w:hint="eastAsia"/>
          <w:color w:val="241F20"/>
          <w:kern w:val="0"/>
          <w:szCs w:val="21"/>
          <w:lang w:bidi="ar"/>
        </w:rPr>
        <w:t>cyclophosphamide; ORR, objective response rate; CR, complete response; CRS, cytokine release syndrome; ICANS, immune effector cell-associated neurotoxicity syndrome.</w:t>
      </w: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2E167E" w:rsidRDefault="002E167E">
      <w:pPr>
        <w:jc w:val="left"/>
        <w:rPr>
          <w:color w:val="000000"/>
          <w:sz w:val="24"/>
        </w:rPr>
      </w:pPr>
    </w:p>
    <w:p w:rsidR="00F665BE" w:rsidRDefault="002E167E">
      <w:pPr>
        <w:jc w:val="left"/>
        <w:rPr>
          <w:sz w:val="24"/>
        </w:rPr>
      </w:pPr>
      <w:r>
        <w:fldChar w:fldCharType="begin"/>
      </w:r>
      <w:r>
        <w:rPr>
          <w:rFonts w:hint="eastAsia"/>
        </w:rPr>
        <w:instrText xml:space="preserve"> ADDIN NE.Bib</w:instrText>
      </w:r>
      <w:r>
        <w:fldChar w:fldCharType="separate"/>
      </w:r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b/>
          <w:color w:val="000000"/>
          <w:sz w:val="20"/>
        </w:rPr>
        <w:lastRenderedPageBreak/>
        <w:t>References:</w:t>
      </w:r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1. </w:t>
      </w:r>
      <w:bookmarkStart w:id="0" w:name="_neb9183EF51_1EAB_4A83_A2E0_D9032FCD4812"/>
      <w:r w:rsidR="0028034C" w:rsidRPr="000A548B">
        <w:rPr>
          <w:rFonts w:ascii="Arimo" w:hAnsi="Arimo" w:cs="Arimo"/>
          <w:color w:val="23282C"/>
          <w:kern w:val="0"/>
          <w:sz w:val="19"/>
          <w:szCs w:val="19"/>
          <w:lang w:eastAsia="en-US"/>
        </w:rPr>
        <w:t>Maude SL, Teachey DT, Rheingold SR, Shaw PA, Aplenc R, Barrett DM, et al. Sustained remissions with CD19-specific chimeric antigen receptor (CAR)-modified T cells in children with relapsed/refractory ALL. J CLIN ONCOL. 2016;34:3011.</w:t>
      </w:r>
      <w:bookmarkStart w:id="1" w:name="_GoBack"/>
      <w:bookmarkEnd w:id="0"/>
      <w:bookmarkEnd w:id="1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2. </w:t>
      </w:r>
      <w:bookmarkStart w:id="2" w:name="_neb221097ED_3A80_49B3_A4CC_40F78394B0C0"/>
      <w:r>
        <w:rPr>
          <w:rFonts w:ascii="Calibri" w:eastAsia="Calibri" w:hAnsi="Calibri"/>
          <w:color w:val="000000"/>
          <w:sz w:val="20"/>
        </w:rPr>
        <w:t>Maude SL, Laetsch TW, Buechner J, Rives S, Boyer M, Bittencourt H, et al. Tisagenlecleucel in children and young adults with B-cell lymphoblastic leukemia. NEW ENGL J MED. 2018;378(5):439-48.</w:t>
      </w:r>
      <w:bookmarkEnd w:id="2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>3.</w:t>
      </w:r>
      <w:r w:rsidRPr="000A548B">
        <w:rPr>
          <w:rFonts w:ascii="Arial Narrow" w:eastAsia="Calibri" w:hAnsi="Arial Narrow"/>
          <w:color w:val="000000"/>
          <w:sz w:val="20"/>
        </w:rPr>
        <w:t xml:space="preserve"> </w:t>
      </w:r>
      <w:bookmarkStart w:id="3" w:name="_neb10AAF9EC_A27A_4CF0_85C5_8D8813B1E5A1"/>
      <w:r w:rsidR="0028034C" w:rsidRPr="000A548B">
        <w:rPr>
          <w:rFonts w:ascii="Arial Narrow" w:hAnsi="Arial Narrow" w:cs="ArialMT"/>
          <w:color w:val="23282C"/>
          <w:kern w:val="0"/>
          <w:sz w:val="19"/>
          <w:szCs w:val="19"/>
          <w:lang w:eastAsia="en-US"/>
        </w:rPr>
        <w:t>Schuster SJ, Dickinson MJ, Dreyling MH, Martínez J, Kolstad A, Butler JP, et al. Efficacy and safety of tisagenlecleucel (Tisa-cel) in adult patients (Pts) with relapsed/refractory follicular lymphoma (r/r FL): Primary analysis of the phase 2 Elara trial. J CLIN ONCOL. 2021;39:7508.</w:t>
      </w:r>
      <w:bookmarkEnd w:id="3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4. </w:t>
      </w:r>
      <w:bookmarkStart w:id="4" w:name="_neb6FCB6781_54B0_42A1_B670_74A6B32CAEC7"/>
      <w:r>
        <w:rPr>
          <w:rFonts w:ascii="Calibri" w:eastAsia="Calibri" w:hAnsi="Calibri"/>
          <w:color w:val="000000"/>
          <w:sz w:val="20"/>
        </w:rPr>
        <w:t>Neelapu SS, Locke FL, Bartlett NL, Lekakis LJ, Miklos DB, Jacobson CA, et al. Axicabtagene ciloleucel CAR T-cell therapy in refractory large B-cell lymphoma. NEW ENGL J MED. 2017;377(26):2531-44.</w:t>
      </w:r>
      <w:bookmarkEnd w:id="4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5. </w:t>
      </w:r>
      <w:bookmarkStart w:id="5" w:name="_neb2E32B4B1_CBAF_45E9_8C03_491795C0994F"/>
      <w:r>
        <w:rPr>
          <w:rFonts w:ascii="Calibri" w:eastAsia="Calibri" w:hAnsi="Calibri"/>
          <w:color w:val="000000"/>
          <w:sz w:val="20"/>
        </w:rPr>
        <w:t>Jacobson CA, Chavez JC, Sehgal AR, William BM, Munoz J, Salles G, et al. Axicabtagene ciloleucel in relapsed or refractory indolent non-Hodgkin lymphoma (ZUMA-5): a single-arm, multicentre, phase 2 trial. The Lancet Oncology. 2022;23(1):91-103.</w:t>
      </w:r>
      <w:bookmarkEnd w:id="5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6. </w:t>
      </w:r>
      <w:bookmarkStart w:id="6" w:name="_nebEAE5B9CB_AEAB_422E_9CA5_5FBEC57B33E8"/>
      <w:r>
        <w:rPr>
          <w:rFonts w:ascii="Calibri" w:eastAsia="Calibri" w:hAnsi="Calibri"/>
          <w:color w:val="000000"/>
          <w:sz w:val="20"/>
        </w:rPr>
        <w:t>Locke FL, Miklos DB, Jacobson CA, Perales M, Kersten M, Oluwole OO, et al. Axicabtagene ciloleucel as second-line therapy for large B-cell lymphoma. NEW ENGL J MED. 2022;386(7):640-54.</w:t>
      </w:r>
      <w:bookmarkEnd w:id="6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7. </w:t>
      </w:r>
      <w:bookmarkStart w:id="7" w:name="_neb72D52D34_6A81_4C62_A43E_D26A618D7BB0"/>
      <w:r>
        <w:rPr>
          <w:rFonts w:ascii="Calibri" w:eastAsia="Calibri" w:hAnsi="Calibri"/>
          <w:color w:val="000000"/>
          <w:sz w:val="20"/>
        </w:rPr>
        <w:t>Wang M, Munoz J, Goy A, Locke FL, Jacobson CA, Hill BT, et al. KTE-X19 CAR T-cell therapy in relapsed or refractory mantle-cell lymphoma. NEW ENGL J MED. 2020;382(14):1331-42.</w:t>
      </w:r>
      <w:bookmarkEnd w:id="7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8. </w:t>
      </w:r>
      <w:bookmarkStart w:id="8" w:name="_neb4CC783BB_718C_4EA4_B929_A5CD4485E30E"/>
      <w:r>
        <w:rPr>
          <w:rFonts w:ascii="Calibri" w:eastAsia="Calibri" w:hAnsi="Calibri"/>
          <w:color w:val="000000"/>
          <w:sz w:val="20"/>
        </w:rPr>
        <w:t>Shah BD, Ghobadi A, Oluwole OO, Logan AC, Boissel N, Cassaday RD, et al. KTE-X19 for relapsed or refractory adult B-cell acute lymphoblastic leukaemia: phase 2 results of the single-arm, open-label, multicentre ZUMA-3 study. The Lancet. 2021;398(10299):491-502.</w:t>
      </w:r>
      <w:bookmarkEnd w:id="8"/>
    </w:p>
    <w:p w:rsidR="0028034C" w:rsidRDefault="002E167E">
      <w:pPr>
        <w:jc w:val="left"/>
        <w:rPr>
          <w:rFonts w:ascii="ArialMT" w:hAnsi="ArialMT" w:cs="ArialMT"/>
          <w:color w:val="23282C"/>
          <w:kern w:val="0"/>
          <w:sz w:val="19"/>
          <w:szCs w:val="19"/>
          <w:lang w:eastAsia="en-US"/>
        </w:rPr>
      </w:pPr>
      <w:r>
        <w:rPr>
          <w:rFonts w:ascii="Calibri" w:eastAsia="Calibri" w:hAnsi="Calibri"/>
          <w:color w:val="000000"/>
          <w:sz w:val="20"/>
        </w:rPr>
        <w:t xml:space="preserve">9. </w:t>
      </w:r>
      <w:bookmarkStart w:id="9" w:name="_nebD1C572C0_B74E_486D_9592_73D35716A258"/>
      <w:r w:rsidR="0028034C" w:rsidRPr="000A548B">
        <w:rPr>
          <w:rFonts w:ascii="Arial Narrow" w:hAnsi="Arial Narrow" w:cs="ArialMT"/>
          <w:color w:val="23282C"/>
          <w:kern w:val="0"/>
          <w:sz w:val="19"/>
          <w:szCs w:val="19"/>
          <w:lang w:eastAsia="en-US"/>
        </w:rPr>
        <w:t>Ogasawara K, Dodds M, Mack T, Lymp J, Dell'Aringa J, Smith J. Population Cellular Kinetics of Lisocabtagene Maraleucel, an Autologous CD19-Directed Chimeric Antigen Receptor T-Cell Product, in Patients with Relapsed/Refractory Large B-Cell Lymphoma. CLIN PHARMACOKINET. 2021;60:1621-33.</w:t>
      </w:r>
      <w:bookmarkEnd w:id="9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10. </w:t>
      </w:r>
      <w:bookmarkStart w:id="10" w:name="_nebC3CFA999_4113_4F44_A4BB_5BBB86F0370B"/>
      <w:r>
        <w:rPr>
          <w:rFonts w:ascii="Calibri" w:eastAsia="Calibri" w:hAnsi="Calibri"/>
          <w:color w:val="000000"/>
          <w:sz w:val="20"/>
        </w:rPr>
        <w:t>Kamdar M, Solomon SR, Arnason JE, Johnston PB, Glass B, Bachanova V, et al. Lisocabtagene maraleucel (liso-cel), a CD19-directed chimeric antigen receptor (CAR) T cell therapy, versus standard of care (SOC) with salvage chemotherapy (CT) followed by autologous stem cell transplantation (ASCT) as second-line (2L) treatment in patients (Pts) with relapsed or refractory (R/R) large B-cell lymphoma (LBCL): results from the randomized phase 3 transform study. BLOOD. 2021;138:91.</w:t>
      </w:r>
      <w:bookmarkEnd w:id="10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11. </w:t>
      </w:r>
      <w:bookmarkStart w:id="11" w:name="_neb8D5BBC59_0A89_43E1_958C_3650F554C78D"/>
      <w:r>
        <w:rPr>
          <w:rFonts w:ascii="Calibri" w:eastAsia="Calibri" w:hAnsi="Calibri"/>
          <w:color w:val="000000"/>
          <w:sz w:val="20"/>
        </w:rPr>
        <w:t>Munshi NC, Anderson Jr LD, Shah N, Madduri D, Berdeja J, Lonial S, et al. Idecabtagene vicleucel in relapsed and refractory multiple myeloma. NEW ENGL J MED. 2021;384(8):705-16.</w:t>
      </w:r>
      <w:bookmarkEnd w:id="11"/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12. </w:t>
      </w:r>
      <w:bookmarkStart w:id="12" w:name="_neb95761411_110A_46C4_8747_E5A8533691EB"/>
      <w:r>
        <w:rPr>
          <w:rFonts w:ascii="Calibri" w:eastAsia="Calibri" w:hAnsi="Calibri"/>
          <w:color w:val="000000"/>
          <w:sz w:val="20"/>
        </w:rPr>
        <w:t>Lin Y, Raje NS, Berdeja JG, Siegel DS, Jagannath S, Madduri D, et al. Idecabtagene vicleucel (ide-cel, bb2121), a BCMA-directed CAR T cell therapy, in patients with relapsed and refractory multiple myeloma: updated results from phase 1 CRB-401 study. BLOOD. 2020;136:26-7.</w:t>
      </w:r>
      <w:bookmarkEnd w:id="12"/>
    </w:p>
    <w:p w:rsidR="0028034C" w:rsidRDefault="002E167E">
      <w:pPr>
        <w:jc w:val="left"/>
        <w:rPr>
          <w:rFonts w:ascii="ArialMT" w:hAnsi="ArialMT" w:cs="ArialMT"/>
          <w:color w:val="23282C"/>
          <w:kern w:val="0"/>
          <w:sz w:val="19"/>
          <w:szCs w:val="19"/>
          <w:lang w:eastAsia="en-US"/>
        </w:rPr>
      </w:pPr>
      <w:r>
        <w:rPr>
          <w:rFonts w:ascii="Calibri" w:eastAsia="Calibri" w:hAnsi="Calibri"/>
          <w:color w:val="000000"/>
          <w:sz w:val="20"/>
        </w:rPr>
        <w:t>13.</w:t>
      </w:r>
      <w:r w:rsidR="0028034C" w:rsidRPr="0028034C">
        <w:rPr>
          <w:rFonts w:ascii="ArialMT" w:hAnsi="ArialMT" w:cs="ArialMT"/>
          <w:color w:val="23282C"/>
          <w:kern w:val="0"/>
          <w:sz w:val="19"/>
          <w:szCs w:val="19"/>
          <w:lang w:eastAsia="en-US"/>
        </w:rPr>
        <w:t xml:space="preserve"> </w:t>
      </w:r>
      <w:r w:rsidR="0028034C" w:rsidRPr="000A548B">
        <w:rPr>
          <w:rFonts w:ascii="Arial Narrow" w:hAnsi="Arial Narrow" w:cs="ArialMT"/>
          <w:color w:val="23282C"/>
          <w:kern w:val="0"/>
          <w:sz w:val="19"/>
          <w:szCs w:val="19"/>
          <w:lang w:eastAsia="en-US"/>
        </w:rPr>
        <w:t xml:space="preserve">Usmani SZ, Martin TG, Berdeja JG, Jakubowiak AJ, Agha ME, Cohen AD, et al. Phase 1b/2 study of ciltacabtagene autoleucel, a BCMA-directed CAR-T cell therapy, in patients with relapsed/refractory multiple myeloma (CARTITUDE-1): Two years post-LPI. J CLIN ONCOL. 2022;40:8028. </w:t>
      </w:r>
    </w:p>
    <w:p w:rsidR="00F665BE" w:rsidRDefault="002E167E">
      <w:pPr>
        <w:jc w:val="left"/>
        <w:rPr>
          <w:sz w:val="24"/>
        </w:rPr>
      </w:pPr>
      <w:r>
        <w:rPr>
          <w:rFonts w:ascii="Calibri" w:eastAsia="Calibri" w:hAnsi="Calibri"/>
          <w:color w:val="000000"/>
          <w:sz w:val="20"/>
        </w:rPr>
        <w:t xml:space="preserve">14. </w:t>
      </w:r>
      <w:bookmarkStart w:id="13" w:name="_neb22E77A07_A43D_4AE3_98EA_DD8EA97090D8"/>
      <w:r>
        <w:rPr>
          <w:rFonts w:ascii="Calibri" w:eastAsia="Calibri" w:hAnsi="Calibri"/>
          <w:color w:val="000000"/>
          <w:sz w:val="20"/>
        </w:rPr>
        <w:t>Cohen AD, Parekh S, Santomasso BD, Gállego Pérez-Larraya J, van de Donk NW, Arnulf B, et al. Incidence and management of CAR-T neurotoxicity in patients with multiple myeloma treated with ciltacabtagene autoleucel in CARTITUDE studies. BLOOD CANCER J. 2022;12(2):1-9.</w:t>
      </w:r>
      <w:bookmarkEnd w:id="13"/>
    </w:p>
    <w:p w:rsidR="00F665BE" w:rsidRDefault="002E167E">
      <w:r>
        <w:fldChar w:fldCharType="end"/>
      </w:r>
    </w:p>
    <w:sectPr w:rsidR="00F665BE">
      <w:pgSz w:w="28346" w:h="15307" w:orient="landscape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3E86CB">
    <w:altName w:val="Segoe Print"/>
    <w:charset w:val="00"/>
    <w:family w:val="auto"/>
    <w:pitch w:val="default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ollipop">
    <w15:presenceInfo w15:providerId="WPS Office" w15:userId="1991927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  <w:docVar w:name="NE.Ref{1971DAFE-6BBC-4DB7-A6F8-80A87108146D}" w:val=" ADDIN NE.Ref.{1971DAFE-6BBC-4DB7-A6F8-80A87108146D}&lt;Citation&gt;&lt;Group&gt;&lt;References&gt;&lt;Item&gt;&lt;ID&gt;58&lt;/ID&gt;&lt;UID&gt;{8D5BBC59-0A89-43E1-958C-3650F554C78D}&lt;/UID&gt;&lt;Title&gt;Idecabtagene vicleucel in relapsed and refractory multiple myeloma&lt;/Title&gt;&lt;Template&gt;Journal Article&lt;/Template&gt;&lt;Star&gt;0&lt;/Star&gt;&lt;Tag&gt;0&lt;/Tag&gt;&lt;Author&gt;Munshi, Nikhil C; Anderson Jr, Larry D; Shah, Nina; Madduri, Deepu; Berdeja, Jesús; Lonial, Sagar; Raje, Noopur; Lin, Yi; Siegel, David; Oriol, Albert&lt;/Author&gt;&lt;Year&gt;2021&lt;/Year&gt;&lt;Details&gt;&lt;_accessed&gt;64453617&lt;/_accessed&gt;&lt;_collection_scope&gt;SCI;SCIE&lt;/_collection_scope&gt;&lt;_created&gt;64196185&lt;/_created&gt;&lt;_impact_factor&gt;  91.253&lt;/_impact_factor&gt;&lt;_isbn&gt;0028-4793&lt;/_isbn&gt;&lt;_issue&gt;8&lt;/_issue&gt;&lt;_journal&gt;New England Journal of Medicine&lt;/_journal&gt;&lt;_modified&gt;64453617&lt;/_modified&gt;&lt;_pages&gt;705-716&lt;/_pages&gt;&lt;_volume&gt;384&lt;/_volume&gt;&lt;/Details&gt;&lt;Extra&gt;&lt;DBUID&gt;{3A9F5EF5-ADEA-41FF-AA38-0273059D0FED}&lt;/DBUID&gt;&lt;/Extra&gt;&lt;/Item&gt;&lt;/References&gt;&lt;/Group&gt;&lt;/Citation&gt;_x000a_"/>
    <w:docVar w:name="NE.Ref{1D7A6AD4-6949-494D-8057-A52E2261E51F}" w:val=" ADDIN NE.Ref.{1D7A6AD4-6949-494D-8057-A52E2261E51F}&lt;Citation&gt;&lt;Group&gt;&lt;References&gt;&lt;Item&gt;&lt;ID&gt;24256&lt;/ID&gt;&lt;UID&gt;{10AAF9EC-A27A-4CF0-85C5-8D8813B1E5A1}&lt;/UID&gt;&lt;Title&gt;Efficacy and safety of tisagenlecleucel (Tisa‐cel) in adult patients (Pts) with relapsed/refractory follicular lymphoma (r/r FL): Primary analysis of the phase 2 ELARA trial&lt;/Title&gt;&lt;Template&gt;Journal Article&lt;/Template&gt;&lt;Star&gt;0&lt;/Star&gt;&lt;Tag&gt;0&lt;/Tag&gt;&lt;Author&gt;Schuster, Stephen J; Dickinson, M; Dreyling, M; Martinez Lopez, J; Kolstad, Arne; Butler, J; Ghosh, Monalisa; Popplewell, Leslie; Chavez, Julio C; Bachy, Emmanuel&lt;/Author&gt;&lt;Year&gt;2021&lt;/Year&gt;&lt;Details&gt;&lt;_isbn&gt;0278-0232&lt;/_isbn&gt;&lt;_journal&gt;Hematological Oncology&lt;/_journal&gt;&lt;_volume&gt;39&lt;/_volume&gt;&lt;_created&gt;64535740&lt;/_created&gt;&lt;_modified&gt;64535740&lt;/_modified&gt;&lt;_impact_factor&gt;   5.271&lt;/_impact_factor&gt;&lt;_collection_scope&gt;SCI;SCIE&lt;/_collection_scope&gt;&lt;/Details&gt;&lt;Extra&gt;&lt;DBUID&gt;{3A9F5EF5-ADEA-41FF-AA38-0273059D0FED}&lt;/DBUID&gt;&lt;/Extra&gt;&lt;/Item&gt;&lt;/References&gt;&lt;/Group&gt;&lt;/Citation&gt;_x000a_"/>
    <w:docVar w:name="NE.Ref{41B2BD6C-3863-446F-B928-490F6F396F31}" w:val=" ADDIN NE.Ref.{41B2BD6C-3863-446F-B928-490F6F396F31}&lt;Citation&gt;&lt;Group&gt;&lt;References&gt;&lt;Item&gt;&lt;ID&gt;24256&lt;/ID&gt;&lt;UID&gt;{10AAF9EC-A27A-4CF0-85C5-8D8813B1E5A1}&lt;/UID&gt;&lt;Title&gt;Efficacy and safety of tisagenlecleucel (Tisa‐cel) in adult patients (Pts) with relapsed/refractory follicular lymphoma (r/r FL): Primary analysis of the phase 2 ELARA trial&lt;/Title&gt;&lt;Template&gt;Journal Article&lt;/Template&gt;&lt;Star&gt;0&lt;/Star&gt;&lt;Tag&gt;0&lt;/Tag&gt;&lt;Author&gt;Schuster, Stephen J; Dickinson, M; Dreyling, M; Martinez Lopez, J; Kolstad, Arne; Butler, J; Ghosh, Monalisa; Popplewell, Leslie; Chavez, Julio C; Bachy, Emmanuel&lt;/Author&gt;&lt;Year&gt;2021&lt;/Year&gt;&lt;Details&gt;&lt;_isbn&gt;0278-0232&lt;/_isbn&gt;&lt;_journal&gt;Hematological Oncology&lt;/_journal&gt;&lt;_volume&gt;39&lt;/_volume&gt;&lt;_created&gt;64535740&lt;/_created&gt;&lt;_modified&gt;64535740&lt;/_modified&gt;&lt;_impact_factor&gt;   5.271&lt;/_impact_factor&gt;&lt;_collection_scope&gt;SCI;SCIE&lt;/_collection_scope&gt;&lt;/Details&gt;&lt;Extra&gt;&lt;DBUID&gt;{3A9F5EF5-ADEA-41FF-AA38-0273059D0FED}&lt;/DBUID&gt;&lt;/Extra&gt;&lt;/Item&gt;&lt;/References&gt;&lt;/Group&gt;&lt;Group&gt;&lt;References&gt;&lt;Item&gt;&lt;ID&gt;24252&lt;/ID&gt;&lt;UID&gt;{1BDA20A2-DF3E-46F6-B1B4-5E0DA4E7BF7A}&lt;/UID&gt;&lt;Title&gt;FDA approves tisagenlecleucel for relapsed or refractory follicular lymphoma&lt;/Title&gt;&lt;Template&gt;Web Page&lt;/Template&gt;&lt;Star&gt;0&lt;/Star&gt;&lt;Tag&gt;0&lt;/Tag&gt;&lt;Author/&gt;&lt;Year&gt;2022&lt;/Year&gt;&lt;Details&gt;&lt;_pages&gt;FDA approves tisagenlecleucel for relapsed or refractory follicular lymphoma&lt;/_pages&gt;&lt;_url&gt;https://www.fda.gov/drugs/resources-information-approved-drugs/fda-approves-tisagenlecleucel-relapsed-or-refractory-follicular-lymphoma&lt;/_url&gt;&lt;_language&gt;Chinese&lt;/_language&gt;&lt;_issue&gt;14 Sept&lt;/_issue&gt;&lt;_db_provider&gt;U.S. Food and Drug Administration&lt;/_db_provider&gt;&lt;_volume&gt;2022&lt;/_volume&gt;&lt;_created&gt;64535587&lt;/_created&gt;&lt;_modified&gt;64535623&lt;/_modified&gt;&lt;_accessed&gt;64535593&lt;/_accessed&gt;&lt;/Details&gt;&lt;Extra&gt;&lt;DBUID&gt;{3A9F5EF5-ADEA-41FF-AA38-0273059D0FED}&lt;/DBUID&gt;&lt;/Extra&gt;&lt;/Item&gt;&lt;/References&gt;&lt;/Group&gt;&lt;/Citation&gt;_x000a_"/>
    <w:docVar w:name="NE.Ref{4C72F8E9-100B-4C9D-8A97-42AF644D840C}" w:val=" ADDIN NE.Ref.{4C72F8E9-100B-4C9D-8A97-42AF644D840C}&lt;Citation&gt;&lt;Group&gt;&lt;References&gt;&lt;Item&gt;&lt;ID&gt;24262&lt;/ID&gt;&lt;UID&gt;{C3CFA999-4113-4F44-A4BB-5BBB86F0370B}&lt;/UID&gt;&lt;Title&gt;Lisocabtagene maraleucel (liso-cel), a CD19-directed chimeric antigen receptor (CAR) T cell therapy, versus standard of care (SOC) with salvage chemotherapy (CT) followed by autologous stem cell transplantation (ASCT) as second-line (2L) treatment in patients (Pts) with relapsed or refractory (R/R) large B-cell lymphoma (LBCL): results from the randomized phase 3 transform study&lt;/Title&gt;&lt;Template&gt;Journal Article&lt;/Template&gt;&lt;Star&gt;0&lt;/Star&gt;&lt;Tag&gt;0&lt;/Tag&gt;&lt;Author&gt;Kamdar, Manali; Solomon, Scott R; Arnason, Jon E; Johnston, Patrick B; Glass, Bertram; Bachanova, Veronika; Ibrahimi, Sami; Mielke, Stephan; Mutsaers, Pim GNJ; Hernandez-Ilizaliturri, Francisco J&lt;/Author&gt;&lt;Year&gt;2021&lt;/Year&gt;&lt;Details&gt;&lt;_isbn&gt;0006-4971&lt;/_isbn&gt;&lt;_journal&gt;Blood&lt;/_journal&gt;&lt;_pages&gt;91&lt;/_pages&gt;&lt;_volume&gt;138&lt;/_volume&gt;&lt;_created&gt;64536950&lt;/_created&gt;&lt;_modified&gt;64536950&lt;/_modified&gt;&lt;_impact_factor&gt;  23.629&lt;/_impact_factor&gt;&lt;_collection_scope&gt;SCI;SCIE&lt;/_collection_scope&gt;&lt;/Details&gt;&lt;Extra&gt;&lt;DBUID&gt;{3A9F5EF5-ADEA-41FF-AA38-0273059D0FED}&lt;/DBUID&gt;&lt;/Extra&gt;&lt;/Item&gt;&lt;/References&gt;&lt;/Group&gt;&lt;/Citation&gt;_x000a_"/>
    <w:docVar w:name="NE.Ref{4D376B7B-769B-4631-893F-1BC308E72835}" w:val=" ADDIN NE.Ref.{4D376B7B-769B-4631-893F-1BC308E72835}&lt;Citation&gt;&lt;Group&gt;&lt;References&gt;&lt;Item&gt;&lt;ID&gt;182&lt;/ID&gt;&lt;UID&gt;{6FCB6781-54B0-42A1-B670-74A6B32CAEC7}&lt;/UID&gt;&lt;Title&gt;Axicabtagene ciloleucel CAR T-cell therapy in refractory large B-cell lymphoma&lt;/Title&gt;&lt;Template&gt;Journal Article&lt;/Template&gt;&lt;Star&gt;0&lt;/Star&gt;&lt;Tag&gt;0&lt;/Tag&gt;&lt;Author&gt;Neelapu, Sattva S; Locke, Frederick L; Bartlett, Nancy L; Lekakis, Lazaros J; Miklos, David B; Jacobson, Caron A; Braunschweig, Ira; Oluwole, Olalekan O; Siddiqi, Tanya; Lin, Yi&lt;/Author&gt;&lt;Year&gt;2017&lt;/Year&gt;&lt;Details&gt;&lt;_collection_scope&gt;SCI;SCIE&lt;/_collection_scope&gt;&lt;_created&gt;64427621&lt;/_created&gt;&lt;_impact_factor&gt;  91.253&lt;/_impact_factor&gt;&lt;_isbn&gt;0028-4793&lt;/_isbn&gt;&lt;_issue&gt;26&lt;/_issue&gt;&lt;_journal&gt;New England Journal of Medicine&lt;/_journal&gt;&lt;_modified&gt;64427621&lt;/_modified&gt;&lt;_pages&gt;2531-2544&lt;/_pages&gt;&lt;_volume&gt;377&lt;/_volume&gt;&lt;/Details&gt;&lt;Extra&gt;&lt;DBUID&gt;{3A9F5EF5-ADEA-41FF-AA38-0273059D0FED}&lt;/DBUID&gt;&lt;/Extra&gt;&lt;/Item&gt;&lt;/References&gt;&lt;/Group&gt;&lt;/Citation&gt;_x000a_"/>
    <w:docVar w:name="NE.Ref{8FFAF84A-6851-4853-8A24-9C2F9C70688F}" w:val=" ADDIN NE.Ref.{8FFAF84A-6851-4853-8A24-9C2F9C70688F}&lt;Citation&gt;&lt;Group&gt;&lt;References&gt;&lt;Item&gt;&lt;ID&gt;47&lt;/ID&gt;&lt;UID&gt;{9183EF51-1EAB-4A83-A2E0-D9032FCD4812}&lt;/UID&gt;&lt;Title&gt;Sustained remissions with CD19-specific chimeric antigen receptor (CAR)-modified T cells in children with relapsed/refractory ALL.&lt;/Title&gt;&lt;Template&gt;Generic&lt;/Template&gt;&lt;Star&gt;0&lt;/Star&gt;&lt;Tag&gt;0&lt;/Tag&gt;&lt;Author&gt;Maude, Shannon L; Teachey, David T; Rheingold, Susan R; Shaw, Pamela A; Aplenc, Richard; Barrett, David Maxwell; Barker, Christine S; Callahan, Colleen; Frey, Noelle V; Nazimuddin, Farzana&lt;/Author&gt;&lt;Year&gt;2016&lt;/Year&gt;&lt;Details&gt;&lt;_created&gt;64194378&lt;/_created&gt;&lt;_isbn&gt;0732-183X&lt;/_isbn&gt;&lt;_modified&gt;64194378&lt;/_modified&gt;&lt;_publisher&gt;American Society of Clinical Oncology&lt;/_publisher&gt;&lt;/Details&gt;&lt;Extra&gt;&lt;DBUID&gt;{3A9F5EF5-ADEA-41FF-AA38-0273059D0FED}&lt;/DBUID&gt;&lt;/Extra&gt;&lt;/Item&gt;&lt;/References&gt;&lt;/Group&gt;&lt;Group&gt;&lt;References&gt;&lt;Item&gt;&lt;ID&gt;24215&lt;/ID&gt;&lt;UID&gt;{221097ED-3A80-49B3-A4CC-40F78394B0C0}&lt;/UID&gt;&lt;Title&gt;Tisagenlecleucel in children and young adults with B-cell lymphoblastic leukemia&lt;/Title&gt;&lt;Template&gt;Journal Article&lt;/Template&gt;&lt;Star&gt;0&lt;/Star&gt;&lt;Tag&gt;0&lt;/Tag&gt;&lt;Author&gt;Maude, Shannon L; Laetsch, Theodore W; Buechner, Jochen; Rives, Susana; Boyer, Michael; Bittencourt, Henrique; Bader, Peter; Verneris, Michael R; Stefanski, Heather E; Myers, Gary D&lt;/Author&gt;&lt;Year&gt;2018&lt;/Year&gt;&lt;Details&gt;&lt;_collection_scope&gt;SCI;SCIE&lt;/_collection_scope&gt;&lt;_created&gt;64530375&lt;/_created&gt;&lt;_impact_factor&gt;  91.253&lt;/_impact_factor&gt;&lt;_isbn&gt;0028-4793&lt;/_isbn&gt;&lt;_issue&gt;5&lt;/_issue&gt;&lt;_journal&gt;New England Journal of Medicine&lt;/_journal&gt;&lt;_modified&gt;64530375&lt;/_modified&gt;&lt;_pages&gt;439-448&lt;/_pages&gt;&lt;_volume&gt;378&lt;/_volume&gt;&lt;/Details&gt;&lt;Extra&gt;&lt;DBUID&gt;{3A9F5EF5-ADEA-41FF-AA38-0273059D0FED}&lt;/DBUID&gt;&lt;/Extra&gt;&lt;/Item&gt;&lt;/References&gt;&lt;/Group&gt;&lt;/Citation&gt;_x000a_"/>
    <w:docVar w:name="NE.Ref{997B6724-BC4A-4FCE-A66C-5DB3EC0BF646}" w:val=" ADDIN NE.Ref.{997B6724-BC4A-4FCE-A66C-5DB3EC0BF646}&lt;Citation&gt;&lt;Group&gt;&lt;References&gt;&lt;Item&gt;&lt;ID&gt;178&lt;/ID&gt;&lt;UID&gt;{9043C2A3-9073-484B-84C5-7EB95388D38F}&lt;/UID&gt;&lt;Title&gt;Phase 1b/2 study of ciltacabtagene autoleucel, a BCMA-directed CAR-T cell therapy, in patients with relapsed/refractory multiple myeloma (CARTITUDE-1): Two years post-LPI.&lt;/Title&gt;&lt;Template&gt;Generic&lt;/Template&gt;&lt;Star&gt;0&lt;/Star&gt;&lt;Tag&gt;0&lt;/Tag&gt;&lt;Author&gt;Usmani, Saad Zafar; Martin, Thomas G; Berdeja, Jesus G; Jakubowiak, Andrzej J; Agha, Mounzer E; Cohen, Adam D; Deol, Abhinav; Htut, Myo; Lesokhin, Alexander M; Munshi, Nikhil C&lt;/Author&gt;&lt;Year&gt;2022&lt;/Year&gt;&lt;Details&gt;&lt;_accessed&gt;64537502&lt;/_accessed&gt;&lt;_created&gt;64424693&lt;/_created&gt;&lt;_isbn&gt;0732-183X&lt;/_isbn&gt;&lt;_modified&gt;64537502&lt;/_modified&gt;&lt;_publisher&gt;American Society of Clinical Oncology&lt;/_publisher&gt;&lt;/Details&gt;&lt;Extra&gt;&lt;DBUID&gt;{3A9F5EF5-ADEA-41FF-AA38-0273059D0FED}&lt;/DBUID&gt;&lt;/Extra&gt;&lt;/Item&gt;&lt;/References&gt;&lt;/Group&gt;&lt;Group&gt;&lt;References&gt;&lt;Item&gt;&lt;ID&gt;179&lt;/ID&gt;&lt;UID&gt;{22E77A07-A43D-4AE3-98EA-DD8EA97090D8}&lt;/UID&gt;&lt;Title&gt;Incidence and management of CAR-T neurotoxicity in patients with multiple myeloma treated with ciltacabtagene autoleucel in CARTITUDE studies&lt;/Title&gt;&lt;Template&gt;Journal Article&lt;/Template&gt;&lt;Star&gt;0&lt;/Star&gt;&lt;Tag&gt;0&lt;/Tag&gt;&lt;Author&gt;Cohen, Adam D; Parekh, Samir; Santomasso, Bianca D; Gállego Pérez-Larraya, Jaime; van de Donk, Niels WCJ; Arnulf, Bertrand; Mateos, Maria-Victoria; Lendvai, Nikoletta; Jackson, Carolyn C; De Braganca, Kevin C&lt;/Author&gt;&lt;Year&gt;2022&lt;/Year&gt;&lt;Details&gt;&lt;_accessed&gt;64453544&lt;/_accessed&gt;&lt;_collection_scope&gt;SCIE&lt;/_collection_scope&gt;&lt;_created&gt;64424695&lt;/_created&gt;&lt;_impact_factor&gt;  11.037&lt;/_impact_factor&gt;&lt;_isbn&gt;2044-5385&lt;/_isbn&gt;&lt;_issue&gt;2&lt;/_issue&gt;&lt;_journal&gt;Blood cancer journal&lt;/_journal&gt;&lt;_modified&gt;64453544&lt;/_modified&gt;&lt;_pages&gt;1-9&lt;/_pages&gt;&lt;_volume&gt;12&lt;/_volume&gt;&lt;/Details&gt;&lt;Extra&gt;&lt;DBUID&gt;{3A9F5EF5-ADEA-41FF-AA38-0273059D0FED}&lt;/DBUID&gt;&lt;/Extra&gt;&lt;/Item&gt;&lt;/References&gt;&lt;/Group&gt;&lt;/Citation&gt;_x000a_"/>
    <w:docVar w:name="NE.Ref{ABC0000B-24C9-4D69-8616-B57CA22A71CA}" w:val=" ADDIN NE.Ref.{ABC0000B-24C9-4D69-8616-B57CA22A71CA}&lt;Citation&gt;&lt;Group&gt;&lt;References&gt;&lt;Item&gt;&lt;ID&gt;24258&lt;/ID&gt;&lt;UID&gt;{EAE5B9CB-AEAB-422E-9CA5-5FBEC57B33E8}&lt;/UID&gt;&lt;Title&gt;Axicabtagene ciloleucel as second-line therapy for large B-cell lymphoma&lt;/Title&gt;&lt;Template&gt;Journal Article&lt;/Template&gt;&lt;Star&gt;0&lt;/Star&gt;&lt;Tag&gt;0&lt;/Tag&gt;&lt;Author&gt;Locke, Frederick L; Miklos, David B; Jacobson, Caron A; Perales, Miguel-Angel; Kersten, Marie-José; Oluwole, Olalekan O; Ghobadi, Armin; Rapoport, Aaron P; McGuirk, Joseph; Pagel, John M&lt;/Author&gt;&lt;Year&gt;2022&lt;/Year&gt;&lt;Details&gt;&lt;_isbn&gt;0028-4793&lt;/_isbn&gt;&lt;_issue&gt;7&lt;/_issue&gt;&lt;_journal&gt;New England Journal of Medicine&lt;/_journal&gt;&lt;_pages&gt;640-654&lt;/_pages&gt;&lt;_volume&gt;386&lt;/_volume&gt;&lt;_created&gt;64536046&lt;/_created&gt;&lt;_modified&gt;64536046&lt;/_modified&gt;&lt;_impact_factor&gt;  91.253&lt;/_impact_factor&gt;&lt;_collection_scope&gt;SCI;SCIE&lt;/_collection_scope&gt;&lt;/Details&gt;&lt;Extra&gt;&lt;DBUID&gt;{3A9F5EF5-ADEA-41FF-AA38-0273059D0FED}&lt;/DBUID&gt;&lt;/Extra&gt;&lt;/Item&gt;&lt;/References&gt;&lt;/Group&gt;&lt;/Citation&gt;_x000a_"/>
    <w:docVar w:name="NE.Ref{AFF1F440-A02C-40FD-A25A-0A25C10B9D76}" w:val=" ADDIN NE.Ref.{AFF1F440-A02C-40FD-A25A-0A25C10B9D76}&lt;Citation&gt;&lt;Group&gt;&lt;References&gt;&lt;Item&gt;&lt;ID&gt;54&lt;/ID&gt;&lt;UID&gt;{72D52D34-6A81-4C62-A43E-D26A618D7BB0}&lt;/UID&gt;&lt;Title&gt;KTE-X19 CAR T-cell therapy in relapsed or refractory mantle-cell lymphoma&lt;/Title&gt;&lt;Template&gt;Journal Article&lt;/Template&gt;&lt;Star&gt;0&lt;/Star&gt;&lt;Tag&gt;0&lt;/Tag&gt;&lt;Author&gt;Wang, Michael; Munoz, Javier; Goy, Andre; Locke, Frederick L; Jacobson, Caron A; Hill, Brian T; Timmerman, John M; Holmes, Houston; Jaglowski, Samantha; Flinn, Ian W&lt;/Author&gt;&lt;Year&gt;2020&lt;/Year&gt;&lt;Details&gt;&lt;_accessed&gt;64331749&lt;/_accessed&gt;&lt;_collection_scope&gt;SCI;SCIE&lt;/_collection_scope&gt;&lt;_created&gt;64195775&lt;/_created&gt;&lt;_impact_factor&gt;  91.253&lt;/_impact_factor&gt;&lt;_isbn&gt;0028-4793&lt;/_isbn&gt;&lt;_issue&gt;14&lt;/_issue&gt;&lt;_journal&gt;New England journal of medicine&lt;/_journal&gt;&lt;_modified&gt;64331749&lt;/_modified&gt;&lt;_pages&gt;1331-1342&lt;/_pages&gt;&lt;_volume&gt;382&lt;/_volume&gt;&lt;/Details&gt;&lt;Extra&gt;&lt;DBUID&gt;{3A9F5EF5-ADEA-41FF-AA38-0273059D0FED}&lt;/DBUID&gt;&lt;/Extra&gt;&lt;/Item&gt;&lt;/References&gt;&lt;/Group&gt;&lt;/Citation&gt;_x000a_"/>
    <w:docVar w:name="NE.Ref{C5F4C73B-4623-4E40-A4EC-1909448A0242}" w:val=" ADDIN NE.Ref.{C5F4C73B-4623-4E40-A4EC-1909448A0242}&lt;Citation&gt;&lt;Group&gt;&lt;References&gt;&lt;Item&gt;&lt;ID&gt;24260&lt;/ID&gt;&lt;UID&gt;{4CC783BB-718C-4EA4-B929-A5CD4485E30E}&lt;/UID&gt;&lt;Title&gt;KTE-X19 for relapsed or refractory adult B-cell acute lymphoblastic leukaemia: phase 2 results of the single-arm, open-label, multicentre ZUMA-3 study&lt;/Title&gt;&lt;Template&gt;Journal Article&lt;/Template&gt;&lt;Star&gt;0&lt;/Star&gt;&lt;Tag&gt;0&lt;/Tag&gt;&lt;Author&gt;Shah, Bijal D; Ghobadi, Armin; Oluwole, Olalekan O; Logan, Aaron C; Boissel, Nicolas; Cassaday, Ryan D; Leguay, Thibaut; Bishop, Michael R; Topp, Max S; Tzachanis, Dimitrios&lt;/Author&gt;&lt;Year&gt;2021&lt;/Year&gt;&lt;Details&gt;&lt;_isbn&gt;0140-6736&lt;/_isbn&gt;&lt;_issue&gt;10299&lt;/_issue&gt;&lt;_journal&gt;The Lancet&lt;/_journal&gt;&lt;_pages&gt;491-502&lt;/_pages&gt;&lt;_volume&gt;398&lt;/_volume&gt;&lt;_created&gt;64536186&lt;/_created&gt;&lt;_modified&gt;64536186&lt;/_modified&gt;&lt;_impact_factor&gt;  79.323&lt;/_impact_factor&gt;&lt;/Details&gt;&lt;Extra&gt;&lt;DBUID&gt;{3A9F5EF5-ADEA-41FF-AA38-0273059D0FED}&lt;/DBUID&gt;&lt;/Extra&gt;&lt;/Item&gt;&lt;/References&gt;&lt;/Group&gt;&lt;/Citation&gt;_x000a_"/>
    <w:docVar w:name="NE.Ref{D36CF732-858C-459D-99DC-20E900ABF0A3}" w:val=" ADDIN NE.Ref.{D36CF732-858C-459D-99DC-20E900ABF0A3}&lt;Citation&gt;&lt;Group&gt;&lt;References&gt;&lt;Item&gt;&lt;ID&gt;24257&lt;/ID&gt;&lt;UID&gt;{2E32B4B1-CBAF-45E9-8C03-491795C0994F}&lt;/UID&gt;&lt;Title&gt;Axicabtagene ciloleucel in relapsed or refractory indolent non-Hodgkin lymphoma (ZUMA-5): a single-arm, multicentre, phase 2 trial&lt;/Title&gt;&lt;Template&gt;Journal Article&lt;/Template&gt;&lt;Star&gt;0&lt;/Star&gt;&lt;Tag&gt;0&lt;/Tag&gt;&lt;Author&gt;Jacobson, Caron A; Chavez, Julio C; Sehgal, Alison R; William, Basem M; Munoz, Javier; Salles, Gilles; Munshi, Pashna N; Casulo, Carla; Maloney, David G; de Vos, Sven&lt;/Author&gt;&lt;Year&gt;2022&lt;/Year&gt;&lt;Details&gt;&lt;_isbn&gt;1470-2045&lt;/_isbn&gt;&lt;_issue&gt;1&lt;/_issue&gt;&lt;_journal&gt;The Lancet Oncology&lt;/_journal&gt;&lt;_pages&gt;91-103&lt;/_pages&gt;&lt;_volume&gt;23&lt;/_volume&gt;&lt;_created&gt;64535997&lt;/_created&gt;&lt;_modified&gt;64535997&lt;/_modified&gt;&lt;_impact_factor&gt;  41.316&lt;/_impact_factor&gt;&lt;/Details&gt;&lt;Extra&gt;&lt;DBUID&gt;{3A9F5EF5-ADEA-41FF-AA38-0273059D0FED}&lt;/DBUID&gt;&lt;/Extra&gt;&lt;/Item&gt;&lt;/References&gt;&lt;/Group&gt;&lt;/Citation&gt;_x000a_"/>
    <w:docVar w:name="NE.Ref{D5DC6239-7CEA-4127-9150-DE0D3352640A}" w:val=" ADDIN NE.Ref.{D5DC6239-7CEA-4127-9150-DE0D3352640A}&lt;Citation&gt;&lt;Group&gt;&lt;References&gt;&lt;Item&gt;&lt;ID&gt;24265&lt;/ID&gt;&lt;UID&gt;{95761411-110A-46C4-8747-E5A8533691EB}&lt;/UID&gt;&lt;Title&gt;Idecabtagene vicleucel (ide-cel, bb2121), a BCMA-directed CAR T cell therapy, in patients with relapsed and refractory multiple myeloma: updated results from phase 1 CRB-401 study&lt;/Title&gt;&lt;Template&gt;Journal Article&lt;/Template&gt;&lt;Star&gt;0&lt;/Star&gt;&lt;Tag&gt;0&lt;/Tag&gt;&lt;Author&gt;Lin, Yi; Raje, Noopur S; Berdeja, Jesus G; Siegel, David S; Jagannath, Sundar; Madduri, Deepu; Liedtke, Michaela; Rosenblatt, Jacalyn; Maus, Marcela V; Massaro, Monica&lt;/Author&gt;&lt;Year&gt;2020&lt;/Year&gt;&lt;Details&gt;&lt;_isbn&gt;0006-4971&lt;/_isbn&gt;&lt;_journal&gt;Blood&lt;/_journal&gt;&lt;_pages&gt;26-27&lt;/_pages&gt;&lt;_volume&gt;136&lt;/_volume&gt;&lt;_created&gt;64537007&lt;/_created&gt;&lt;_modified&gt;64537007&lt;/_modified&gt;&lt;_impact_factor&gt;  23.629&lt;/_impact_factor&gt;&lt;_collection_scope&gt;SCI;SCIE&lt;/_collection_scope&gt;&lt;/Details&gt;&lt;Extra&gt;&lt;DBUID&gt;{3A9F5EF5-ADEA-41FF-AA38-0273059D0FED}&lt;/DBUID&gt;&lt;/Extra&gt;&lt;/Item&gt;&lt;/References&gt;&lt;/Group&gt;&lt;/Citation&gt;_x000a_"/>
    <w:docVar w:name="NE.Ref{EE3AA3FE-6A04-4D62-BC27-70E1126305D5}" w:val=" ADDIN NE.Ref.{EE3AA3FE-6A04-4D62-BC27-70E1126305D5}&lt;Citation&gt;&lt;Group&gt;&lt;References&gt;&lt;Item&gt;&lt;ID&gt;16&lt;/ID&gt;&lt;UID&gt;{D1C572C0-B74E-486D-9592-73D35716A258}&lt;/UID&gt;&lt;Title&gt;Population Cellular Kinetics of Lisocabtagene Maraleucel, an Autologous CD19-Directed Chimeric Antigen Receptor T-Cell Product, in Patients with Relapsed/Refractory Large B-Cell Lymphoma&lt;/Title&gt;&lt;Template&gt;Journal Article&lt;/Template&gt;&lt;Star&gt;0&lt;/Star&gt;&lt;Tag&gt;0&lt;/Tag&gt;&lt;Author&gt;Ogasawara, Ken; Dodds, Michael; Mack, Timothy; Lymp, James; Dell Aringa, Justine; Smith, Jeff&lt;/Author&gt;&lt;Year&gt;2021&lt;/Year&gt;&lt;Details&gt;&lt;_accessed&gt;64181789&lt;/_accessed&gt;&lt;_collection_scope&gt;SCI;SCIE&lt;/_collection_scope&gt;&lt;_created&gt;64181748&lt;/_created&gt;&lt;_date&gt;63640800&lt;/_date&gt;&lt;_date_display&gt;2021&lt;/_date_display&gt;&lt;_db_updated&gt;PKU Search&lt;/_db_updated&gt;&lt;_doi&gt;10.1007/s40262-021-01039-5&lt;/_doi&gt;&lt;_impact_factor&gt;   6.447&lt;/_impact_factor&gt;&lt;_isbn&gt;0312-5963&lt;/_isbn&gt;&lt;_issue&gt;12&lt;/_issue&gt;&lt;_journal&gt;Clinical pharmacokinetics&lt;/_journal&gt;&lt;_keywords&gt;Antigens; Chemotherapy; Genomes; Internal Medicine; Kinetics; Lymphocytes; Lymphoma; Medicine; Medicine &amp;amp; Public Health; NCT; NCT02631044; Original Research Article; Patients; Pharmacology/Toxicology; Pharmacotherapy; Polymerase chain reaction; Population&lt;/_keywords&gt;&lt;_modified&gt;64181809&lt;/_modified&gt;&lt;_number&gt;1&lt;/_number&gt;&lt;_ori_publication&gt;Springer International Publishing&lt;/_ori_publication&gt;&lt;_pages&gt;1621-1633&lt;/_pages&gt;&lt;_place_published&gt;Cham&lt;/_place_published&gt;&lt;_url&gt;https://go.exlibris.link/JYVW58rC&lt;/_url&gt;&lt;_volume&gt;60&lt;/_volume&gt;&lt;/Details&gt;&lt;Extra&gt;&lt;DBUID&gt;{3A9F5EF5-ADEA-41FF-AA38-0273059D0FED}&lt;/DBUID&gt;&lt;/Extra&gt;&lt;/Item&gt;&lt;/References&gt;&lt;/Group&gt;&lt;/Citation&gt;_x000a_"/>
    <w:docVar w:name="NE.Ref{F98E4EF7-D9E2-4994-8C32-1AC4FEE36623}" w:val=" ADDIN NE.Ref.{F98E4EF7-D9E2-4994-8C32-1AC4FEE36623}&lt;Citation&gt;&lt;Group&gt;&lt;References&gt;&lt;Item&gt;&lt;ID&gt;24270&lt;/ID&gt;&lt;UID&gt;{6DA838A0-FF24-4DB6-AEC6-2C67C0226071}&lt;/UID&gt;&lt;Title&gt;Phase 1b/2 study of ciltacabtagene autoleucel, a BCMA-directed CAR-T cell therapy, in patients with relapsed/refractory multiple myeloma (CARTITUDE-1): Two years post-LPI.&lt;/Title&gt;&lt;Template&gt;Generic&lt;/Template&gt;&lt;Star&gt;0&lt;/Star&gt;&lt;Tag&gt;0&lt;/Tag&gt;&lt;Author&gt;Usmani, Saad Zafar; Martin, Thomas G; Berdeja, Jesus G; Jakubowiak, Andrzej J; Agha, Mounzer E; Cohen, Adam D; Deol, Abhinav; Htut, Myo; Lesokhin, Alexander M; Munshi, Nikhil C&lt;/Author&gt;&lt;Year&gt;2022&lt;/Year&gt;&lt;Details&gt;&lt;_isbn&gt;0732-183X&lt;/_isbn&gt;&lt;_publisher&gt;American Society of Clinical Oncology&lt;/_publisher&gt;&lt;_created&gt;64537501&lt;/_created&gt;&lt;_modified&gt;64537501&lt;/_modified&gt;&lt;_accessed&gt;64537501&lt;/_accessed&gt;&lt;/Details&gt;&lt;Extra&gt;&lt;DBUID&gt;{3A9F5EF5-ADEA-41FF-AA38-0273059D0FED}&lt;/DBUID&gt;&lt;/Extra&gt;&lt;/Item&gt;&lt;/References&gt;&lt;/Group&gt;&lt;/Citation&gt;_x000a_"/>
    <w:docVar w:name="ne_docsoft" w:val="MSWord"/>
    <w:docVar w:name="ne_docversion" w:val="NoteExpress 2.0"/>
    <w:docVar w:name="ne_stylename" w:val="Vancouver New MC"/>
  </w:docVars>
  <w:rsids>
    <w:rsidRoot w:val="00172A27"/>
    <w:rsid w:val="000A548B"/>
    <w:rsid w:val="00172A27"/>
    <w:rsid w:val="0028034C"/>
    <w:rsid w:val="002E167E"/>
    <w:rsid w:val="00C57C1B"/>
    <w:rsid w:val="00F665BE"/>
    <w:rsid w:val="01781730"/>
    <w:rsid w:val="02DE4BD8"/>
    <w:rsid w:val="05204529"/>
    <w:rsid w:val="05E06BB8"/>
    <w:rsid w:val="16066EA3"/>
    <w:rsid w:val="249D0A5A"/>
    <w:rsid w:val="28CB790F"/>
    <w:rsid w:val="2DD92C6B"/>
    <w:rsid w:val="2F537636"/>
    <w:rsid w:val="375038EC"/>
    <w:rsid w:val="47191001"/>
    <w:rsid w:val="4FC25A51"/>
    <w:rsid w:val="64EE5C5E"/>
    <w:rsid w:val="799D2E0D"/>
    <w:rsid w:val="7E4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67E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67E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2064-5DD3-4D31-BF8C-A25B754C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Lollipop</dc:creator>
  <cp:lastModifiedBy>Oira, Cynthia</cp:lastModifiedBy>
  <cp:revision>5</cp:revision>
  <dcterms:created xsi:type="dcterms:W3CDTF">2022-09-13T23:45:00Z</dcterms:created>
  <dcterms:modified xsi:type="dcterms:W3CDTF">2022-10-07T13:16:00Z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D120E606722146678FC2078455A95BEF</vt:lpwstr>
  </property>
</Properties>
</file>