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Additional </w:t>
      </w:r>
      <w:r>
        <w:rPr>
          <w:rFonts w:ascii="Arial" w:hAnsi="Arial" w:cs="Arial"/>
        </w:rPr>
        <w:t>Table 2</w:t>
      </w:r>
      <w:r>
        <w:rPr>
          <w:rFonts w:ascii="Arial" w:hAnsi="Arial" w:cs="Arial"/>
        </w:rPr>
        <w:t xml:space="preserve">: Characteristics of the complete and incomplete cases </w:t>
      </w:r>
    </w:p>
    <w:tbl>
      <w:tblPr>
        <w:tblStyle w:val="Publicationstyle"/>
        <w:tblW w:w="9350" w:type="dxa"/>
        <w:tblLook w:val="04A0" w:firstRow="1" w:lastRow="0" w:firstColumn="1" w:lastColumn="0" w:noHBand="0" w:noVBand="1"/>
      </w:tblPr>
      <w:tblGrid>
        <w:gridCol w:w="2976"/>
        <w:gridCol w:w="2282"/>
        <w:gridCol w:w="2239"/>
        <w:gridCol w:w="1853"/>
      </w:tblGrid>
      <w:tr>
        <w:tc>
          <w:tcPr>
            <w:tcW w:w="2976" w:type="dxa"/>
          </w:tcPr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82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Complete cases</w:t>
            </w:r>
          </w:p>
        </w:tc>
        <w:tc>
          <w:tcPr>
            <w:tcW w:w="2239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Incomplete cases</w:t>
            </w:r>
          </w:p>
        </w:tc>
        <w:tc>
          <w:tcPr>
            <w:tcW w:w="1853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p-value</w:t>
            </w:r>
          </w:p>
        </w:tc>
      </w:tr>
      <w:tr>
        <w:tc>
          <w:tcPr>
            <w:tcW w:w="2976" w:type="dxa"/>
          </w:tcPr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2282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</w:t>
            </w:r>
          </w:p>
        </w:tc>
        <w:tc>
          <w:tcPr>
            <w:tcW w:w="2239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1853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c>
          <w:tcPr>
            <w:tcW w:w="2976" w:type="dxa"/>
          </w:tcPr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FVC % predicted, mean (SD)</w:t>
            </w:r>
          </w:p>
        </w:tc>
        <w:tc>
          <w:tcPr>
            <w:tcW w:w="2282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74.2 (21.1)</w:t>
            </w:r>
          </w:p>
        </w:tc>
        <w:tc>
          <w:tcPr>
            <w:tcW w:w="2239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66.8 (18.4)</w:t>
            </w:r>
          </w:p>
        </w:tc>
        <w:tc>
          <w:tcPr>
            <w:tcW w:w="1853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0.009</w:t>
            </w:r>
          </w:p>
        </w:tc>
      </w:tr>
      <w:tr>
        <w:tc>
          <w:tcPr>
            <w:tcW w:w="2976" w:type="dxa"/>
          </w:tcPr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DLCO% predicted, mean (SD)</w:t>
            </w:r>
          </w:p>
        </w:tc>
        <w:tc>
          <w:tcPr>
            <w:tcW w:w="2282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44.5 (16.1)</w:t>
            </w:r>
          </w:p>
        </w:tc>
        <w:tc>
          <w:tcPr>
            <w:tcW w:w="2239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42.7 (17.6)</w:t>
            </w:r>
          </w:p>
        </w:tc>
        <w:tc>
          <w:tcPr>
            <w:tcW w:w="1853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0.235</w:t>
            </w:r>
          </w:p>
        </w:tc>
      </w:tr>
      <w:tr>
        <w:tc>
          <w:tcPr>
            <w:tcW w:w="2976" w:type="dxa"/>
          </w:tcPr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K-BILD Breathlessness and Activities, mean (SD)</w:t>
            </w:r>
          </w:p>
        </w:tc>
        <w:tc>
          <w:tcPr>
            <w:tcW w:w="2282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41.2 (21.0)</w:t>
            </w:r>
          </w:p>
        </w:tc>
        <w:tc>
          <w:tcPr>
            <w:tcW w:w="2239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34.8 (20.4)</w:t>
            </w:r>
          </w:p>
        </w:tc>
        <w:tc>
          <w:tcPr>
            <w:tcW w:w="1853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0.082</w:t>
            </w:r>
          </w:p>
        </w:tc>
      </w:tr>
      <w:tr>
        <w:tc>
          <w:tcPr>
            <w:tcW w:w="2976" w:type="dxa"/>
          </w:tcPr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K-BILD Chest Symptoms, mean (SD)</w:t>
            </w:r>
          </w:p>
        </w:tc>
        <w:tc>
          <w:tcPr>
            <w:tcW w:w="2282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62.4 (23.0)</w:t>
            </w:r>
          </w:p>
        </w:tc>
        <w:tc>
          <w:tcPr>
            <w:tcW w:w="2239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65.2 (21.9)</w:t>
            </w:r>
          </w:p>
        </w:tc>
        <w:tc>
          <w:tcPr>
            <w:tcW w:w="1853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0.339</w:t>
            </w:r>
          </w:p>
        </w:tc>
      </w:tr>
      <w:tr>
        <w:tc>
          <w:tcPr>
            <w:tcW w:w="2976" w:type="dxa"/>
          </w:tcPr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K-BILD Psychological, mean (SD)</w:t>
            </w:r>
          </w:p>
        </w:tc>
        <w:tc>
          <w:tcPr>
            <w:tcW w:w="2282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51.0 (13.9)</w:t>
            </w:r>
          </w:p>
        </w:tc>
        <w:tc>
          <w:tcPr>
            <w:tcW w:w="2239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52.5 (13.4)</w:t>
            </w:r>
          </w:p>
        </w:tc>
        <w:tc>
          <w:tcPr>
            <w:tcW w:w="1853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0.716</w:t>
            </w:r>
          </w:p>
        </w:tc>
      </w:tr>
      <w:tr>
        <w:tc>
          <w:tcPr>
            <w:tcW w:w="2976" w:type="dxa"/>
          </w:tcPr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K-BILD Total, mean (SD)</w:t>
            </w:r>
          </w:p>
        </w:tc>
        <w:tc>
          <w:tcPr>
            <w:tcW w:w="2282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52.8 (12.1)</w:t>
            </w:r>
          </w:p>
        </w:tc>
        <w:tc>
          <w:tcPr>
            <w:tcW w:w="2239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52.5 (10.8)</w:t>
            </w:r>
          </w:p>
        </w:tc>
        <w:tc>
          <w:tcPr>
            <w:tcW w:w="1853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0.737</w:t>
            </w:r>
          </w:p>
        </w:tc>
      </w:tr>
      <w:tr>
        <w:tc>
          <w:tcPr>
            <w:tcW w:w="2976" w:type="dxa"/>
          </w:tcPr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EQ-5D-5L VAS, mean (SD) *</w:t>
            </w:r>
          </w:p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82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60.0 (19.5)</w:t>
            </w:r>
          </w:p>
        </w:tc>
        <w:tc>
          <w:tcPr>
            <w:tcW w:w="2239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58.8 (19.4)</w:t>
            </w:r>
          </w:p>
        </w:tc>
        <w:tc>
          <w:tcPr>
            <w:tcW w:w="1853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0.691</w:t>
            </w:r>
          </w:p>
        </w:tc>
      </w:tr>
      <w:tr>
        <w:tc>
          <w:tcPr>
            <w:tcW w:w="2976" w:type="dxa"/>
          </w:tcPr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Mean age, years (SD)</w:t>
            </w:r>
          </w:p>
        </w:tc>
        <w:tc>
          <w:tcPr>
            <w:tcW w:w="2282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61.7 (12.7)</w:t>
            </w:r>
          </w:p>
        </w:tc>
        <w:tc>
          <w:tcPr>
            <w:tcW w:w="2239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63.3 (13.9)</w:t>
            </w:r>
          </w:p>
        </w:tc>
        <w:tc>
          <w:tcPr>
            <w:tcW w:w="1853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0.079</w:t>
            </w:r>
          </w:p>
        </w:tc>
      </w:tr>
      <w:tr>
        <w:tc>
          <w:tcPr>
            <w:tcW w:w="2976" w:type="dxa"/>
          </w:tcPr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Mean time since diagnosis, years (SD)</w:t>
            </w:r>
          </w:p>
        </w:tc>
        <w:tc>
          <w:tcPr>
            <w:tcW w:w="2282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 (6.3)</w:t>
            </w:r>
          </w:p>
        </w:tc>
        <w:tc>
          <w:tcPr>
            <w:tcW w:w="2239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 (4.8)</w:t>
            </w:r>
          </w:p>
        </w:tc>
        <w:tc>
          <w:tcPr>
            <w:tcW w:w="1853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0.026</w:t>
            </w:r>
          </w:p>
        </w:tc>
      </w:tr>
      <w:tr>
        <w:tc>
          <w:tcPr>
            <w:tcW w:w="2976" w:type="dxa"/>
          </w:tcPr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Mean number of comorbidities (SD)</w:t>
            </w:r>
          </w:p>
        </w:tc>
        <w:tc>
          <w:tcPr>
            <w:tcW w:w="2282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 (1.8)</w:t>
            </w:r>
          </w:p>
        </w:tc>
        <w:tc>
          <w:tcPr>
            <w:tcW w:w="2239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 (1.6)</w:t>
            </w:r>
          </w:p>
        </w:tc>
        <w:tc>
          <w:tcPr>
            <w:tcW w:w="1853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0.442</w:t>
            </w:r>
          </w:p>
        </w:tc>
      </w:tr>
      <w:tr>
        <w:tc>
          <w:tcPr>
            <w:tcW w:w="2976" w:type="dxa"/>
          </w:tcPr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Female (%)</w:t>
            </w:r>
          </w:p>
        </w:tc>
        <w:tc>
          <w:tcPr>
            <w:tcW w:w="2282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 (34.0)</w:t>
            </w:r>
          </w:p>
        </w:tc>
        <w:tc>
          <w:tcPr>
            <w:tcW w:w="2239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 (34.3)</w:t>
            </w:r>
          </w:p>
        </w:tc>
        <w:tc>
          <w:tcPr>
            <w:tcW w:w="1853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0.972</w:t>
            </w:r>
          </w:p>
        </w:tc>
      </w:tr>
      <w:tr>
        <w:tc>
          <w:tcPr>
            <w:tcW w:w="2976" w:type="dxa"/>
          </w:tcPr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ILD subtypes:</w:t>
            </w:r>
          </w:p>
        </w:tc>
        <w:tc>
          <w:tcPr>
            <w:tcW w:w="2282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39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53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0.333</w:t>
            </w:r>
          </w:p>
        </w:tc>
      </w:tr>
      <w:tr>
        <w:tc>
          <w:tcPr>
            <w:tcW w:w="2976" w:type="dxa"/>
          </w:tcPr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IPF (%)</w:t>
            </w:r>
          </w:p>
        </w:tc>
        <w:tc>
          <w:tcPr>
            <w:tcW w:w="2282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 (28.4)</w:t>
            </w:r>
          </w:p>
        </w:tc>
        <w:tc>
          <w:tcPr>
            <w:tcW w:w="2239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 (20.6)</w:t>
            </w:r>
          </w:p>
        </w:tc>
        <w:tc>
          <w:tcPr>
            <w:tcW w:w="1853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>
        <w:tc>
          <w:tcPr>
            <w:tcW w:w="2976" w:type="dxa"/>
          </w:tcPr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Sarcoidosis; %</w:t>
            </w:r>
          </w:p>
        </w:tc>
        <w:tc>
          <w:tcPr>
            <w:tcW w:w="2282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 (22.2)</w:t>
            </w:r>
          </w:p>
        </w:tc>
        <w:tc>
          <w:tcPr>
            <w:tcW w:w="2239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 (20.6)</w:t>
            </w:r>
          </w:p>
        </w:tc>
        <w:tc>
          <w:tcPr>
            <w:tcW w:w="1853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>
        <w:tc>
          <w:tcPr>
            <w:tcW w:w="2976" w:type="dxa"/>
          </w:tcPr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 (%)</w:t>
            </w:r>
          </w:p>
        </w:tc>
        <w:tc>
          <w:tcPr>
            <w:tcW w:w="2282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 (49.5)</w:t>
            </w:r>
          </w:p>
        </w:tc>
        <w:tc>
          <w:tcPr>
            <w:tcW w:w="2239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 (58.9)</w:t>
            </w:r>
          </w:p>
        </w:tc>
        <w:tc>
          <w:tcPr>
            <w:tcW w:w="1853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>
        <w:tc>
          <w:tcPr>
            <w:tcW w:w="2976" w:type="dxa"/>
          </w:tcPr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Smoking status:</w:t>
            </w:r>
          </w:p>
        </w:tc>
        <w:tc>
          <w:tcPr>
            <w:tcW w:w="2282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39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53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0.923</w:t>
            </w:r>
          </w:p>
        </w:tc>
      </w:tr>
      <w:tr>
        <w:tc>
          <w:tcPr>
            <w:tcW w:w="2976" w:type="dxa"/>
          </w:tcPr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Current (%)</w:t>
            </w:r>
          </w:p>
        </w:tc>
        <w:tc>
          <w:tcPr>
            <w:tcW w:w="2282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 (3.6)</w:t>
            </w:r>
          </w:p>
        </w:tc>
        <w:tc>
          <w:tcPr>
            <w:tcW w:w="2239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(2.8)</w:t>
            </w:r>
          </w:p>
        </w:tc>
        <w:tc>
          <w:tcPr>
            <w:tcW w:w="1853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>
        <w:tc>
          <w:tcPr>
            <w:tcW w:w="2976" w:type="dxa"/>
          </w:tcPr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Former (%)</w:t>
            </w:r>
          </w:p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Never (%)</w:t>
            </w:r>
          </w:p>
        </w:tc>
        <w:tc>
          <w:tcPr>
            <w:tcW w:w="2282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 (57.7)</w:t>
            </w:r>
          </w:p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 (38.7)</w:t>
            </w:r>
          </w:p>
        </w:tc>
        <w:tc>
          <w:tcPr>
            <w:tcW w:w="2239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 (59.7)</w:t>
            </w:r>
          </w:p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 (38.4)</w:t>
            </w:r>
          </w:p>
        </w:tc>
        <w:tc>
          <w:tcPr>
            <w:tcW w:w="1853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>
        <w:tc>
          <w:tcPr>
            <w:tcW w:w="2976" w:type="dxa"/>
          </w:tcPr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Immunosuppressant medication use (%)</w:t>
            </w:r>
          </w:p>
        </w:tc>
        <w:tc>
          <w:tcPr>
            <w:tcW w:w="2282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 (60.3)</w:t>
            </w:r>
          </w:p>
        </w:tc>
        <w:tc>
          <w:tcPr>
            <w:tcW w:w="2239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 (67.1)</w:t>
            </w:r>
          </w:p>
        </w:tc>
        <w:tc>
          <w:tcPr>
            <w:tcW w:w="1853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0.306</w:t>
            </w:r>
          </w:p>
        </w:tc>
      </w:tr>
      <w:tr>
        <w:tc>
          <w:tcPr>
            <w:tcW w:w="2976" w:type="dxa"/>
          </w:tcPr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Education:</w:t>
            </w:r>
          </w:p>
        </w:tc>
        <w:tc>
          <w:tcPr>
            <w:tcW w:w="2282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39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53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0.888</w:t>
            </w:r>
          </w:p>
        </w:tc>
      </w:tr>
      <w:tr>
        <w:tc>
          <w:tcPr>
            <w:tcW w:w="2976" w:type="dxa"/>
          </w:tcPr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Basic (%)</w:t>
            </w:r>
          </w:p>
        </w:tc>
        <w:tc>
          <w:tcPr>
            <w:tcW w:w="2282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 (41.2)</w:t>
            </w:r>
          </w:p>
        </w:tc>
        <w:tc>
          <w:tcPr>
            <w:tcW w:w="2239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 (43.8)</w:t>
            </w:r>
          </w:p>
        </w:tc>
        <w:tc>
          <w:tcPr>
            <w:tcW w:w="1853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>
        <w:tc>
          <w:tcPr>
            <w:tcW w:w="2976" w:type="dxa"/>
          </w:tcPr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Secondary (%)</w:t>
            </w:r>
          </w:p>
        </w:tc>
        <w:tc>
          <w:tcPr>
            <w:tcW w:w="2282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 (28.9)</w:t>
            </w:r>
          </w:p>
        </w:tc>
        <w:tc>
          <w:tcPr>
            <w:tcW w:w="2239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 (26.0)</w:t>
            </w:r>
          </w:p>
        </w:tc>
        <w:tc>
          <w:tcPr>
            <w:tcW w:w="1853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>
        <w:tc>
          <w:tcPr>
            <w:tcW w:w="2976" w:type="dxa"/>
          </w:tcPr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Higher (%)</w:t>
            </w:r>
          </w:p>
        </w:tc>
        <w:tc>
          <w:tcPr>
            <w:tcW w:w="2282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 (29.9)</w:t>
            </w:r>
          </w:p>
        </w:tc>
        <w:tc>
          <w:tcPr>
            <w:tcW w:w="2239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 (30.1)</w:t>
            </w:r>
          </w:p>
        </w:tc>
        <w:tc>
          <w:tcPr>
            <w:tcW w:w="1853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</w:tr>
      <w:tr>
        <w:tc>
          <w:tcPr>
            <w:tcW w:w="2976" w:type="dxa"/>
          </w:tcPr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Employed (%)</w:t>
            </w:r>
          </w:p>
        </w:tc>
        <w:tc>
          <w:tcPr>
            <w:tcW w:w="2282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(30.4)</w:t>
            </w:r>
          </w:p>
        </w:tc>
        <w:tc>
          <w:tcPr>
            <w:tcW w:w="2239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 (26.0)</w:t>
            </w:r>
          </w:p>
        </w:tc>
        <w:tc>
          <w:tcPr>
            <w:tcW w:w="1853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0.483</w:t>
            </w:r>
          </w:p>
        </w:tc>
      </w:tr>
      <w:tr>
        <w:tc>
          <w:tcPr>
            <w:tcW w:w="2976" w:type="dxa"/>
          </w:tcPr>
          <w:p>
            <w:pPr>
              <w:pStyle w:val="NoSpacing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Center 2 (%)</w:t>
            </w:r>
          </w:p>
        </w:tc>
        <w:tc>
          <w:tcPr>
            <w:tcW w:w="2282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 (64.4)</w:t>
            </w:r>
          </w:p>
        </w:tc>
        <w:tc>
          <w:tcPr>
            <w:tcW w:w="2239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 (72.6)</w:t>
            </w:r>
          </w:p>
        </w:tc>
        <w:tc>
          <w:tcPr>
            <w:tcW w:w="1853" w:type="dxa"/>
          </w:tcPr>
          <w:p>
            <w:pPr>
              <w:pStyle w:val="NoSpacing"/>
              <w:spacing w:line="36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0.207</w:t>
            </w:r>
          </w:p>
        </w:tc>
      </w:tr>
    </w:tbl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 </w:t>
      </w:r>
      <w:proofErr w:type="gramStart"/>
      <w:r>
        <w:rPr>
          <w:rFonts w:ascii="Arial" w:hAnsi="Arial" w:cs="Arial"/>
          <w:sz w:val="22"/>
        </w:rPr>
        <w:t>the</w:t>
      </w:r>
      <w:proofErr w:type="gramEnd"/>
      <w:r>
        <w:rPr>
          <w:rFonts w:ascii="Arial" w:hAnsi="Arial" w:cs="Arial"/>
          <w:sz w:val="22"/>
        </w:rPr>
        <w:t xml:space="preserve"> complete cases for VAS were 192 and 70 (36.5%) of them had a clinically meaningful decline in HRQL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C71AB-84A9-4456-BB11-515D0557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sz w:val="24"/>
      <w:szCs w:val="24"/>
    </w:rPr>
  </w:style>
  <w:style w:type="table" w:customStyle="1" w:styleId="Publicationstyle">
    <w:name w:val="Publication style"/>
    <w:basedOn w:val="TableNormal"/>
    <w:uiPriority w:val="99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Helmholtz Zentrum München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Maqhuzu, Phillen Nozibuyiso</dc:creator>
  <cp:keywords/>
  <dc:description/>
  <cp:lastModifiedBy>Maqhuzu, Phillen Nozibuyiso</cp:lastModifiedBy>
  <cp:revision>4</cp:revision>
  <dcterms:created xsi:type="dcterms:W3CDTF">2020-09-13T06:06:00Z</dcterms:created>
  <dcterms:modified xsi:type="dcterms:W3CDTF">2020-10-06T15:16:00Z</dcterms:modified>
</cp:coreProperties>
</file>