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</w:t>
      </w:r>
      <w:bookmarkStart w:id="0" w:name="_GoBack"/>
      <w:r>
        <w:rPr>
          <w:rFonts w:ascii="Arial" w:hAnsi="Arial" w:cs="Arial"/>
        </w:rPr>
        <w:t xml:space="preserve">Table 3: Differences </w:t>
      </w:r>
      <w:bookmarkEnd w:id="0"/>
      <w:r>
        <w:rPr>
          <w:rFonts w:ascii="Arial" w:hAnsi="Arial" w:cs="Arial"/>
        </w:rPr>
        <w:t>between ILD subtypes regarding disease duration, number of comorbidities and use of immunosuppressant medication</w:t>
      </w:r>
    </w:p>
    <w:tbl>
      <w:tblPr>
        <w:tblStyle w:val="Publicationstyle"/>
        <w:tblW w:w="9350" w:type="dxa"/>
        <w:tblLook w:val="04A0" w:firstRow="1" w:lastRow="0" w:firstColumn="1" w:lastColumn="0" w:noHBand="0" w:noVBand="1"/>
      </w:tblPr>
      <w:tblGrid>
        <w:gridCol w:w="2778"/>
        <w:gridCol w:w="1795"/>
        <w:gridCol w:w="1974"/>
        <w:gridCol w:w="1502"/>
        <w:gridCol w:w="1301"/>
      </w:tblGrid>
      <w:tr>
        <w:tc>
          <w:tcPr>
            <w:tcW w:w="2778" w:type="dxa"/>
          </w:tcPr>
          <w:p>
            <w:pPr>
              <w:pStyle w:val="NoSpacing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95" w:type="dxa"/>
          </w:tcPr>
          <w:p>
            <w:pPr>
              <w:pStyle w:val="NoSpacing"/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IPF</w:t>
            </w:r>
          </w:p>
        </w:tc>
        <w:tc>
          <w:tcPr>
            <w:tcW w:w="1974" w:type="dxa"/>
          </w:tcPr>
          <w:p>
            <w:pPr>
              <w:pStyle w:val="NoSpacing"/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Sarcoidosis</w:t>
            </w:r>
          </w:p>
        </w:tc>
        <w:tc>
          <w:tcPr>
            <w:tcW w:w="1502" w:type="dxa"/>
          </w:tcPr>
          <w:p>
            <w:pPr>
              <w:pStyle w:val="NoSpacing"/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 ILDs</w:t>
            </w:r>
          </w:p>
        </w:tc>
        <w:tc>
          <w:tcPr>
            <w:tcW w:w="1301" w:type="dxa"/>
          </w:tcPr>
          <w:p>
            <w:pPr>
              <w:pStyle w:val="NoSpacing"/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p-value</w:t>
            </w:r>
          </w:p>
        </w:tc>
      </w:tr>
      <w:tr>
        <w:tc>
          <w:tcPr>
            <w:tcW w:w="2778" w:type="dxa"/>
          </w:tcPr>
          <w:p>
            <w:pPr>
              <w:pStyle w:val="NoSpacing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795" w:type="dxa"/>
          </w:tcPr>
          <w:p>
            <w:pPr>
              <w:pStyle w:val="NoSpacing"/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974" w:type="dxa"/>
          </w:tcPr>
          <w:p>
            <w:pPr>
              <w:pStyle w:val="NoSpacing"/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502" w:type="dxa"/>
          </w:tcPr>
          <w:p>
            <w:pPr>
              <w:pStyle w:val="NoSpacing"/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1301" w:type="dxa"/>
          </w:tcPr>
          <w:p>
            <w:pPr>
              <w:pStyle w:val="NoSpacing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>
        <w:tc>
          <w:tcPr>
            <w:tcW w:w="2778" w:type="dxa"/>
          </w:tcPr>
          <w:p>
            <w:pPr>
              <w:pStyle w:val="NoSpacing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Mean time since diagnosis, years (SD)</w:t>
            </w:r>
          </w:p>
        </w:tc>
        <w:tc>
          <w:tcPr>
            <w:tcW w:w="1795" w:type="dxa"/>
          </w:tcPr>
          <w:p>
            <w:pPr>
              <w:pStyle w:val="NoSpacing"/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 (1.8)</w:t>
            </w:r>
          </w:p>
        </w:tc>
        <w:tc>
          <w:tcPr>
            <w:tcW w:w="1974" w:type="dxa"/>
          </w:tcPr>
          <w:p>
            <w:pPr>
              <w:pStyle w:val="NoSpacing"/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 (9.8)</w:t>
            </w:r>
          </w:p>
        </w:tc>
        <w:tc>
          <w:tcPr>
            <w:tcW w:w="1502" w:type="dxa"/>
          </w:tcPr>
          <w:p>
            <w:pPr>
              <w:pStyle w:val="NoSpacing"/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 (5.1)</w:t>
            </w:r>
          </w:p>
        </w:tc>
        <w:tc>
          <w:tcPr>
            <w:tcW w:w="1301" w:type="dxa"/>
          </w:tcPr>
          <w:p>
            <w:pPr>
              <w:pStyle w:val="NoSpacing"/>
              <w:spacing w:line="276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0.001</w:t>
            </w:r>
          </w:p>
        </w:tc>
      </w:tr>
      <w:tr>
        <w:tc>
          <w:tcPr>
            <w:tcW w:w="2778" w:type="dxa"/>
          </w:tcPr>
          <w:p>
            <w:pPr>
              <w:pStyle w:val="NoSpacing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Mean number of comorbidities (SD)</w:t>
            </w:r>
          </w:p>
        </w:tc>
        <w:tc>
          <w:tcPr>
            <w:tcW w:w="1795" w:type="dxa"/>
          </w:tcPr>
          <w:p>
            <w:pPr>
              <w:pStyle w:val="NoSpacing"/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 (1.7)</w:t>
            </w:r>
          </w:p>
        </w:tc>
        <w:tc>
          <w:tcPr>
            <w:tcW w:w="1974" w:type="dxa"/>
          </w:tcPr>
          <w:p>
            <w:pPr>
              <w:pStyle w:val="NoSpacing"/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 (1.5)</w:t>
            </w:r>
          </w:p>
        </w:tc>
        <w:tc>
          <w:tcPr>
            <w:tcW w:w="1502" w:type="dxa"/>
          </w:tcPr>
          <w:p>
            <w:pPr>
              <w:pStyle w:val="NoSpacing"/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 (1.7)</w:t>
            </w:r>
          </w:p>
        </w:tc>
        <w:tc>
          <w:tcPr>
            <w:tcW w:w="1301" w:type="dxa"/>
          </w:tcPr>
          <w:p>
            <w:pPr>
              <w:pStyle w:val="NoSpacing"/>
              <w:spacing w:line="276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&lt;.0001</w:t>
            </w:r>
          </w:p>
        </w:tc>
      </w:tr>
      <w:tr>
        <w:tc>
          <w:tcPr>
            <w:tcW w:w="2778" w:type="dxa"/>
          </w:tcPr>
          <w:p>
            <w:pPr>
              <w:pStyle w:val="NoSpacing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Immunosuppressant medications use N (%)</w:t>
            </w:r>
          </w:p>
        </w:tc>
        <w:tc>
          <w:tcPr>
            <w:tcW w:w="1795" w:type="dxa"/>
          </w:tcPr>
          <w:p>
            <w:pPr>
              <w:pStyle w:val="NoSpacing"/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 (16.4)</w:t>
            </w:r>
          </w:p>
        </w:tc>
        <w:tc>
          <w:tcPr>
            <w:tcW w:w="1974" w:type="dxa"/>
          </w:tcPr>
          <w:p>
            <w:pPr>
              <w:pStyle w:val="NoSpacing"/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 (81.4)</w:t>
            </w:r>
          </w:p>
        </w:tc>
        <w:tc>
          <w:tcPr>
            <w:tcW w:w="1502" w:type="dxa"/>
          </w:tcPr>
          <w:p>
            <w:pPr>
              <w:pStyle w:val="NoSpacing"/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 (72.9)</w:t>
            </w:r>
          </w:p>
        </w:tc>
        <w:tc>
          <w:tcPr>
            <w:tcW w:w="1301" w:type="dxa"/>
          </w:tcPr>
          <w:p>
            <w:pPr>
              <w:pStyle w:val="NoSpacing"/>
              <w:spacing w:line="276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&lt;.0001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EAA46-D439-49A0-BDFB-F31529F1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sz w:val="24"/>
      <w:szCs w:val="24"/>
    </w:rPr>
  </w:style>
  <w:style w:type="table" w:customStyle="1" w:styleId="Publicationstyle">
    <w:name w:val="Publication style"/>
    <w:basedOn w:val="TableNormal"/>
    <w:uiPriority w:val="99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Maqhuzu, Phillen Nozibuyiso</dc:creator>
  <cp:keywords/>
  <dc:description/>
  <cp:lastModifiedBy>Maqhuzu, Phillen Nozibuyiso</cp:lastModifiedBy>
  <cp:revision>4</cp:revision>
  <dcterms:created xsi:type="dcterms:W3CDTF">2020-09-13T06:08:00Z</dcterms:created>
  <dcterms:modified xsi:type="dcterms:W3CDTF">2020-10-06T15:17:00Z</dcterms:modified>
</cp:coreProperties>
</file>