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33EA" w14:textId="77777777" w:rsidR="00BF2355" w:rsidRDefault="00BF2355" w:rsidP="00BF2355">
      <w:pPr>
        <w:pStyle w:val="berschrift1"/>
        <w:rPr>
          <w:lang w:val="en-US"/>
        </w:rPr>
      </w:pPr>
      <w:r>
        <w:rPr>
          <w:lang w:val="en-US"/>
        </w:rPr>
        <w:t>Supplementary Information</w:t>
      </w:r>
    </w:p>
    <w:p w14:paraId="6375BCFD" w14:textId="77777777" w:rsidR="0043071B" w:rsidRPr="00F54252" w:rsidRDefault="0043071B" w:rsidP="0043071B">
      <w:pPr>
        <w:pStyle w:val="berschrift1"/>
        <w:rPr>
          <w:lang w:val="en-US"/>
        </w:rPr>
      </w:pPr>
      <w:r>
        <w:rPr>
          <w:lang w:val="en-US"/>
        </w:rPr>
        <w:t>Use of s</w:t>
      </w:r>
      <w:r w:rsidRPr="00F54252">
        <w:rPr>
          <w:lang w:val="en-US"/>
        </w:rPr>
        <w:t>entinel lymph node biopsy in elderly patient</w:t>
      </w:r>
      <w:r>
        <w:rPr>
          <w:lang w:val="en-US"/>
        </w:rPr>
        <w:t>s</w:t>
      </w:r>
      <w:r w:rsidRPr="00F54252">
        <w:rPr>
          <w:lang w:val="en-US"/>
        </w:rPr>
        <w:t xml:space="preserve"> </w:t>
      </w:r>
      <w:r>
        <w:rPr>
          <w:lang w:val="en-US"/>
        </w:rPr>
        <w:t xml:space="preserve">with </w:t>
      </w:r>
      <w:r w:rsidRPr="00F54252">
        <w:rPr>
          <w:lang w:val="en-US"/>
        </w:rPr>
        <w:t>breast cancer – 10</w:t>
      </w:r>
      <w:r>
        <w:rPr>
          <w:lang w:val="en-US"/>
        </w:rPr>
        <w:t>-</w:t>
      </w:r>
      <w:r w:rsidRPr="00F54252">
        <w:rPr>
          <w:lang w:val="en-US"/>
        </w:rPr>
        <w:t xml:space="preserve">year experience from a Swiss </w:t>
      </w:r>
      <w:r>
        <w:rPr>
          <w:lang w:val="en-US"/>
        </w:rPr>
        <w:t>university hospital</w:t>
      </w:r>
    </w:p>
    <w:p w14:paraId="36E03477" w14:textId="77777777" w:rsidR="0043071B" w:rsidRPr="00DD2CBF" w:rsidRDefault="0043071B" w:rsidP="0043071B">
      <w:pPr>
        <w:rPr>
          <w:rFonts w:cstheme="minorHAnsi"/>
          <w:lang w:val="en-US"/>
        </w:rPr>
      </w:pPr>
    </w:p>
    <w:p w14:paraId="52498B0D" w14:textId="77777777" w:rsidR="0043071B" w:rsidRPr="00DD2CBF" w:rsidRDefault="0043071B" w:rsidP="0043071B">
      <w:pPr>
        <w:rPr>
          <w:rFonts w:cstheme="minorHAnsi"/>
          <w:lang w:val="de-CH"/>
        </w:rPr>
      </w:pPr>
      <w:r w:rsidRPr="00DD2CBF">
        <w:rPr>
          <w:rFonts w:cstheme="minorHAnsi"/>
          <w:lang w:val="de-CH"/>
        </w:rPr>
        <w:t>Martin Heidinger†*</w:t>
      </w:r>
      <w:r w:rsidRPr="00DD2CBF">
        <w:rPr>
          <w:rFonts w:cstheme="minorHAnsi"/>
          <w:vertAlign w:val="superscript"/>
          <w:lang w:val="de-CH"/>
        </w:rPr>
        <w:t xml:space="preserve"> 1,2</w:t>
      </w:r>
      <w:r w:rsidRPr="00DD2CBF">
        <w:rPr>
          <w:rFonts w:cstheme="minorHAnsi"/>
          <w:lang w:val="de-CH"/>
        </w:rPr>
        <w:t>, Nadia Maggi*</w:t>
      </w:r>
      <w:r w:rsidRPr="00DD2CBF">
        <w:rPr>
          <w:rFonts w:cstheme="minorHAnsi"/>
          <w:vertAlign w:val="superscript"/>
          <w:lang w:val="de-CH"/>
        </w:rPr>
        <w:t xml:space="preserve"> 1,2</w:t>
      </w:r>
      <w:r w:rsidRPr="00DD2CBF">
        <w:rPr>
          <w:rFonts w:cstheme="minorHAnsi"/>
          <w:lang w:val="de-CH"/>
        </w:rPr>
        <w:t>, Gilles Dutilh</w:t>
      </w:r>
      <w:r w:rsidRPr="00DD2CBF">
        <w:rPr>
          <w:rFonts w:cstheme="minorHAnsi"/>
          <w:vertAlign w:val="superscript"/>
          <w:lang w:val="de-CH"/>
        </w:rPr>
        <w:t xml:space="preserve"> 3</w:t>
      </w:r>
      <w:r w:rsidRPr="00DD2CBF">
        <w:rPr>
          <w:rFonts w:cstheme="minorHAnsi"/>
          <w:lang w:val="de-CH"/>
        </w:rPr>
        <w:t>,</w:t>
      </w:r>
      <w:r>
        <w:rPr>
          <w:rFonts w:cstheme="minorHAnsi"/>
          <w:lang w:val="de-CH"/>
        </w:rPr>
        <w:t xml:space="preserve"> Madleina Mueller</w:t>
      </w:r>
      <w:r w:rsidRPr="00DD2CBF">
        <w:rPr>
          <w:rFonts w:cstheme="minorHAnsi"/>
          <w:lang w:val="de-CH"/>
        </w:rPr>
        <w:t xml:space="preserve"> </w:t>
      </w:r>
      <w:r w:rsidRPr="00DD2CBF">
        <w:rPr>
          <w:rFonts w:cstheme="minorHAnsi"/>
          <w:vertAlign w:val="superscript"/>
          <w:lang w:val="de-CH"/>
        </w:rPr>
        <w:t>1</w:t>
      </w:r>
      <w:r>
        <w:rPr>
          <w:rFonts w:cstheme="minorHAnsi"/>
          <w:lang w:val="de-CH"/>
        </w:rPr>
        <w:t>, Ruth S. Eller</w:t>
      </w:r>
      <w:r w:rsidRPr="00DD2CBF">
        <w:rPr>
          <w:rFonts w:cstheme="minorHAnsi"/>
          <w:lang w:val="de-CH"/>
        </w:rPr>
        <w:t xml:space="preserve"> </w:t>
      </w:r>
      <w:r w:rsidRPr="00DD2CBF">
        <w:rPr>
          <w:rFonts w:cstheme="minorHAnsi"/>
          <w:vertAlign w:val="superscript"/>
          <w:lang w:val="de-CH"/>
        </w:rPr>
        <w:t>1</w:t>
      </w:r>
      <w:r>
        <w:rPr>
          <w:rFonts w:cstheme="minorHAnsi"/>
          <w:lang w:val="de-CH"/>
        </w:rPr>
        <w:t>, Julie M. Loesch</w:t>
      </w:r>
      <w:r w:rsidRPr="00DD2CBF">
        <w:rPr>
          <w:rFonts w:cstheme="minorHAnsi"/>
          <w:lang w:val="de-CH"/>
        </w:rPr>
        <w:t xml:space="preserve"> </w:t>
      </w:r>
      <w:r w:rsidRPr="00DD2CBF">
        <w:rPr>
          <w:rFonts w:cstheme="minorHAnsi"/>
          <w:vertAlign w:val="superscript"/>
          <w:lang w:val="de-CH"/>
        </w:rPr>
        <w:t>1</w:t>
      </w:r>
      <w:r>
        <w:rPr>
          <w:rFonts w:cstheme="minorHAnsi"/>
          <w:lang w:val="de-CH"/>
        </w:rPr>
        <w:t>, Fabienne D. Schwab</w:t>
      </w:r>
      <w:r w:rsidRPr="00DD2CBF">
        <w:rPr>
          <w:rFonts w:cstheme="minorHAnsi"/>
          <w:lang w:val="de-CH"/>
        </w:rPr>
        <w:t xml:space="preserve"> </w:t>
      </w:r>
      <w:r w:rsidRPr="00DD2CBF">
        <w:rPr>
          <w:rFonts w:cstheme="minorHAnsi"/>
          <w:vertAlign w:val="superscript"/>
          <w:lang w:val="de-CH"/>
        </w:rPr>
        <w:t>1,2</w:t>
      </w:r>
      <w:r>
        <w:rPr>
          <w:rFonts w:cstheme="minorHAnsi"/>
          <w:lang w:val="de-CH"/>
        </w:rPr>
        <w:t>,</w:t>
      </w:r>
      <w:r w:rsidRPr="00DD2CBF">
        <w:rPr>
          <w:rFonts w:cstheme="minorHAnsi"/>
          <w:lang w:val="de-CH"/>
        </w:rPr>
        <w:t xml:space="preserve"> Christian Kurzeder </w:t>
      </w:r>
      <w:r w:rsidRPr="00DD2CBF">
        <w:rPr>
          <w:rFonts w:cstheme="minorHAnsi"/>
          <w:vertAlign w:val="superscript"/>
          <w:lang w:val="de-CH"/>
        </w:rPr>
        <w:t>1</w:t>
      </w:r>
      <w:r w:rsidRPr="00DD2CBF">
        <w:rPr>
          <w:rFonts w:cstheme="minorHAnsi"/>
          <w:lang w:val="de-CH"/>
        </w:rPr>
        <w:t xml:space="preserve">, Walter P. Weber </w:t>
      </w:r>
      <w:r w:rsidRPr="00DD2CBF">
        <w:rPr>
          <w:rFonts w:cstheme="minorHAnsi"/>
          <w:vertAlign w:val="superscript"/>
          <w:lang w:val="de-CH"/>
        </w:rPr>
        <w:t>1,2</w:t>
      </w:r>
    </w:p>
    <w:p w14:paraId="6A68590C" w14:textId="77777777" w:rsidR="0043071B" w:rsidRPr="00DD2CBF" w:rsidRDefault="0043071B" w:rsidP="0043071B">
      <w:pPr>
        <w:rPr>
          <w:rFonts w:cstheme="minorHAnsi"/>
          <w:lang w:val="de-CH"/>
        </w:rPr>
      </w:pPr>
    </w:p>
    <w:p w14:paraId="402D0DB5" w14:textId="77777777" w:rsidR="0043071B" w:rsidRPr="00DD2CBF" w:rsidRDefault="0043071B" w:rsidP="0043071B">
      <w:pPr>
        <w:rPr>
          <w:rFonts w:cstheme="minorHAnsi"/>
          <w:lang w:val="en-US"/>
        </w:rPr>
      </w:pPr>
      <w:r w:rsidRPr="00DD2CBF">
        <w:rPr>
          <w:rFonts w:cstheme="minorHAnsi"/>
          <w:vertAlign w:val="superscript"/>
          <w:lang w:val="en-US"/>
        </w:rPr>
        <w:t>1</w:t>
      </w:r>
      <w:r w:rsidRPr="00DD2CBF">
        <w:rPr>
          <w:rFonts w:cstheme="minorHAnsi"/>
          <w:lang w:val="en-US"/>
        </w:rPr>
        <w:t xml:space="preserve"> Breast Center, University Hospital Basel, Basel, Switzerland</w:t>
      </w:r>
    </w:p>
    <w:p w14:paraId="1B73A542" w14:textId="77777777" w:rsidR="0043071B" w:rsidRPr="00DD2CBF" w:rsidRDefault="0043071B" w:rsidP="0043071B">
      <w:pPr>
        <w:rPr>
          <w:rFonts w:cstheme="minorHAnsi"/>
          <w:lang w:val="en-US"/>
        </w:rPr>
      </w:pPr>
      <w:r w:rsidRPr="00DD2CBF">
        <w:rPr>
          <w:rFonts w:cstheme="minorHAnsi"/>
          <w:vertAlign w:val="superscript"/>
          <w:lang w:val="en-US"/>
        </w:rPr>
        <w:t>2</w:t>
      </w:r>
      <w:r w:rsidRPr="00DD2CBF">
        <w:rPr>
          <w:rFonts w:cstheme="minorHAnsi"/>
          <w:lang w:val="en-US"/>
        </w:rPr>
        <w:t xml:space="preserve"> University of Basel, Basel, Switzerland</w:t>
      </w:r>
    </w:p>
    <w:p w14:paraId="3E9799E9" w14:textId="77777777" w:rsidR="0043071B" w:rsidRPr="00DD2CBF" w:rsidRDefault="0043071B" w:rsidP="0043071B">
      <w:pPr>
        <w:rPr>
          <w:rFonts w:cstheme="minorHAnsi"/>
          <w:sz w:val="20"/>
          <w:szCs w:val="20"/>
          <w:lang w:val="en-US"/>
        </w:rPr>
      </w:pPr>
      <w:r w:rsidRPr="00DD2CBF">
        <w:rPr>
          <w:rFonts w:cstheme="minorHAnsi"/>
          <w:vertAlign w:val="superscript"/>
          <w:lang w:val="en-US"/>
        </w:rPr>
        <w:t xml:space="preserve">3 </w:t>
      </w:r>
      <w:r w:rsidRPr="00DD2CBF">
        <w:rPr>
          <w:rFonts w:cstheme="minorHAnsi"/>
          <w:lang w:val="en-US"/>
        </w:rPr>
        <w:t>Department of Clinical Research, University Hospital Basel, Basel, Switzerland</w:t>
      </w:r>
    </w:p>
    <w:p w14:paraId="58F85DAE" w14:textId="77777777" w:rsidR="0043071B" w:rsidRPr="00DD2CBF" w:rsidRDefault="0043071B" w:rsidP="0043071B">
      <w:pPr>
        <w:rPr>
          <w:rFonts w:cstheme="minorHAnsi"/>
          <w:lang w:val="en-US"/>
        </w:rPr>
      </w:pPr>
      <w:r w:rsidRPr="00DD2CBF">
        <w:rPr>
          <w:rFonts w:cstheme="minorHAnsi"/>
          <w:lang w:val="en-US"/>
        </w:rPr>
        <w:t>* shared first co-authorship – contributed equally</w:t>
      </w:r>
    </w:p>
    <w:p w14:paraId="4B2EB47A" w14:textId="77777777" w:rsidR="0043071B" w:rsidRPr="00DD2CBF" w:rsidRDefault="0043071B" w:rsidP="0043071B">
      <w:pPr>
        <w:rPr>
          <w:rFonts w:cstheme="minorHAnsi"/>
          <w:lang w:val="en-US"/>
        </w:rPr>
      </w:pPr>
      <w:r w:rsidRPr="00DD2CBF">
        <w:rPr>
          <w:rFonts w:cstheme="minorHAnsi"/>
          <w:lang w:val="en-US"/>
        </w:rPr>
        <w:t>† corresponding author</w:t>
      </w:r>
    </w:p>
    <w:p w14:paraId="59CE851C" w14:textId="77777777" w:rsidR="0043071B" w:rsidRDefault="0043071B" w:rsidP="0043071B">
      <w:pPr>
        <w:rPr>
          <w:lang w:val="en-US"/>
        </w:rPr>
      </w:pPr>
      <w:r>
        <w:rPr>
          <w:lang w:val="en-US"/>
        </w:rPr>
        <w:tab/>
        <w:t>Dr. Martin Heidinger</w:t>
      </w:r>
    </w:p>
    <w:p w14:paraId="62D56660" w14:textId="77777777" w:rsidR="0043071B" w:rsidRDefault="0043071B" w:rsidP="0043071B">
      <w:pPr>
        <w:rPr>
          <w:lang w:val="en-US"/>
        </w:rPr>
      </w:pPr>
      <w:r>
        <w:rPr>
          <w:lang w:val="en-US"/>
        </w:rPr>
        <w:tab/>
      </w:r>
      <w:hyperlink r:id="rId4" w:history="1">
        <w:r w:rsidRPr="00B879F7">
          <w:rPr>
            <w:rStyle w:val="Hyperlink"/>
            <w:lang w:val="en-US"/>
          </w:rPr>
          <w:t>martin.heidinger@usb.ch</w:t>
        </w:r>
      </w:hyperlink>
    </w:p>
    <w:p w14:paraId="2FC55D99" w14:textId="77777777" w:rsidR="0043071B" w:rsidRDefault="0043071B" w:rsidP="0043071B">
      <w:pPr>
        <w:rPr>
          <w:lang w:val="en-US"/>
        </w:rPr>
      </w:pPr>
      <w:r>
        <w:rPr>
          <w:lang w:val="en-US"/>
        </w:rPr>
        <w:tab/>
        <w:t>Brustchirurgie, Universitätsspital Basel</w:t>
      </w:r>
    </w:p>
    <w:p w14:paraId="41A47F90" w14:textId="77777777" w:rsidR="0043071B" w:rsidRPr="00F54252" w:rsidRDefault="0043071B" w:rsidP="0043071B">
      <w:pPr>
        <w:rPr>
          <w:lang w:val="en-US"/>
        </w:rPr>
      </w:pPr>
      <w:r>
        <w:rPr>
          <w:lang w:val="en-US"/>
        </w:rPr>
        <w:tab/>
        <w:t>Spitalstrasse 21, 4031 Basel</w:t>
      </w:r>
    </w:p>
    <w:p w14:paraId="238C9B8F" w14:textId="65185F6A" w:rsidR="001261B8" w:rsidRDefault="001261B8"/>
    <w:p w14:paraId="73114351" w14:textId="78506426" w:rsidR="00BF2355" w:rsidRDefault="00BF2355">
      <w:r>
        <w:br w:type="page"/>
      </w:r>
    </w:p>
    <w:p w14:paraId="6DA14410" w14:textId="77777777" w:rsidR="00BF2355" w:rsidRPr="00F54252" w:rsidRDefault="00BF2355" w:rsidP="00BF2355">
      <w:pPr>
        <w:rPr>
          <w:lang w:val="en-US"/>
        </w:rPr>
      </w:pPr>
      <w:r w:rsidRPr="00F54252">
        <w:rPr>
          <w:b/>
          <w:bCs/>
          <w:lang w:val="en-US"/>
        </w:rPr>
        <w:lastRenderedPageBreak/>
        <w:t>Supplement Table 1</w:t>
      </w:r>
      <w:r w:rsidRPr="00F54252">
        <w:rPr>
          <w:lang w:val="en-US"/>
        </w:rPr>
        <w:t xml:space="preserve">. Comparison of potential influence factors on axillary surgery in patients </w:t>
      </w:r>
      <w:r w:rsidRPr="00F54252">
        <w:rPr>
          <w:rFonts w:cstheme="minorHAnsi"/>
          <w:lang w:val="en-US"/>
        </w:rPr>
        <w:t>≥</w:t>
      </w:r>
      <w:r w:rsidRPr="00F54252">
        <w:rPr>
          <w:lang w:val="en-US"/>
        </w:rPr>
        <w:t xml:space="preserve">70 years, with cT1, cN0, hormone receptor positive, human epidermal growth factor </w:t>
      </w:r>
      <w:r>
        <w:rPr>
          <w:lang w:val="en-US"/>
        </w:rPr>
        <w:t xml:space="preserve">receptor </w:t>
      </w:r>
      <w:r w:rsidRPr="00F54252">
        <w:rPr>
          <w:lang w:val="en-US"/>
        </w:rPr>
        <w:t xml:space="preserve">2 negative breast cancer before and after publication of </w:t>
      </w:r>
      <w:r w:rsidRPr="0077053E">
        <w:rPr>
          <w:i/>
          <w:iCs/>
          <w:lang w:val="en-US"/>
        </w:rPr>
        <w:t xml:space="preserve">Choosing </w:t>
      </w:r>
      <w:r>
        <w:rPr>
          <w:i/>
          <w:iCs/>
          <w:lang w:val="en-US"/>
        </w:rPr>
        <w:t>W</w:t>
      </w:r>
      <w:r w:rsidRPr="0077053E">
        <w:rPr>
          <w:i/>
          <w:iCs/>
          <w:lang w:val="en-US"/>
        </w:rPr>
        <w:t>isely</w:t>
      </w:r>
      <w:r w:rsidRPr="00F54252">
        <w:rPr>
          <w:lang w:val="en-US"/>
        </w:rPr>
        <w:t xml:space="preserve"> recommendations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19"/>
        <w:gridCol w:w="2266"/>
        <w:gridCol w:w="2125"/>
        <w:gridCol w:w="1263"/>
        <w:gridCol w:w="1115"/>
      </w:tblGrid>
      <w:tr w:rsidR="00BF2355" w:rsidRPr="00006707" w14:paraId="00AB04DC" w14:textId="77777777" w:rsidTr="0077053E">
        <w:tc>
          <w:tcPr>
            <w:tcW w:w="1356" w:type="pct"/>
          </w:tcPr>
          <w:p w14:paraId="5EBD05A2" w14:textId="77777777" w:rsidR="00BF2355" w:rsidRPr="00F54252" w:rsidRDefault="00BF2355" w:rsidP="0077053E">
            <w:pPr>
              <w:rPr>
                <w:lang w:val="en-US"/>
              </w:rPr>
            </w:pPr>
          </w:p>
        </w:tc>
        <w:tc>
          <w:tcPr>
            <w:tcW w:w="1220" w:type="pct"/>
          </w:tcPr>
          <w:p w14:paraId="148E0061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Until August 2016</w:t>
            </w:r>
          </w:p>
          <w:p w14:paraId="26B14BA0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(n=24)</w:t>
            </w:r>
          </w:p>
        </w:tc>
        <w:tc>
          <w:tcPr>
            <w:tcW w:w="1144" w:type="pct"/>
          </w:tcPr>
          <w:p w14:paraId="7AAF106A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As of August 2016</w:t>
            </w:r>
          </w:p>
          <w:p w14:paraId="2915A3CD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(n=55)</w:t>
            </w:r>
          </w:p>
        </w:tc>
        <w:tc>
          <w:tcPr>
            <w:tcW w:w="679" w:type="pct"/>
          </w:tcPr>
          <w:p w14:paraId="3E39BB86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p-value</w:t>
            </w:r>
          </w:p>
        </w:tc>
        <w:tc>
          <w:tcPr>
            <w:tcW w:w="600" w:type="pct"/>
          </w:tcPr>
          <w:p w14:paraId="47DBEB88" w14:textId="77777777" w:rsidR="00BF2355" w:rsidRPr="00F54252" w:rsidRDefault="00BF2355" w:rsidP="0077053E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F54252">
              <w:rPr>
                <w:rFonts w:cstheme="minorHAnsi"/>
                <w:sz w:val="14"/>
                <w:szCs w:val="14"/>
                <w:lang w:val="en-US"/>
              </w:rPr>
              <w:t xml:space="preserve">% </w:t>
            </w:r>
          </w:p>
          <w:p w14:paraId="5AE790CE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rFonts w:cstheme="minorHAnsi"/>
                <w:sz w:val="14"/>
                <w:szCs w:val="14"/>
                <w:lang w:val="en-US"/>
              </w:rPr>
              <w:t>missing data</w:t>
            </w:r>
          </w:p>
        </w:tc>
      </w:tr>
      <w:tr w:rsidR="00BF2355" w:rsidRPr="00006707" w14:paraId="04EE184A" w14:textId="77777777" w:rsidTr="0077053E">
        <w:tc>
          <w:tcPr>
            <w:tcW w:w="1356" w:type="pct"/>
          </w:tcPr>
          <w:p w14:paraId="3BE60D1E" w14:textId="77777777" w:rsidR="00BF2355" w:rsidRPr="00F54252" w:rsidRDefault="00BF2355" w:rsidP="0077053E">
            <w:pPr>
              <w:rPr>
                <w:b/>
                <w:bCs/>
                <w:lang w:val="en-US"/>
              </w:rPr>
            </w:pPr>
            <w:r w:rsidRPr="00F54252">
              <w:rPr>
                <w:b/>
                <w:bCs/>
                <w:lang w:val="en-US"/>
              </w:rPr>
              <w:t>Neoadjuvant therapy</w:t>
            </w:r>
          </w:p>
        </w:tc>
        <w:tc>
          <w:tcPr>
            <w:tcW w:w="1220" w:type="pct"/>
          </w:tcPr>
          <w:p w14:paraId="0391FD4A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0.0%</w:t>
            </w:r>
          </w:p>
        </w:tc>
        <w:tc>
          <w:tcPr>
            <w:tcW w:w="1144" w:type="pct"/>
          </w:tcPr>
          <w:p w14:paraId="12AEA01B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1.8%</w:t>
            </w:r>
          </w:p>
        </w:tc>
        <w:tc>
          <w:tcPr>
            <w:tcW w:w="679" w:type="pct"/>
          </w:tcPr>
          <w:p w14:paraId="5040E354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1.0</w:t>
            </w:r>
          </w:p>
        </w:tc>
        <w:tc>
          <w:tcPr>
            <w:tcW w:w="600" w:type="pct"/>
          </w:tcPr>
          <w:p w14:paraId="645DFE35" w14:textId="77777777" w:rsidR="00BF2355" w:rsidRPr="00F54252" w:rsidRDefault="00BF2355" w:rsidP="0077053E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F54252">
              <w:rPr>
                <w:rFonts w:cstheme="minorHAnsi"/>
                <w:sz w:val="14"/>
                <w:szCs w:val="14"/>
                <w:lang w:val="en-US"/>
              </w:rPr>
              <w:t>4.8%</w:t>
            </w:r>
          </w:p>
        </w:tc>
      </w:tr>
      <w:tr w:rsidR="00BF2355" w:rsidRPr="00006707" w14:paraId="5F946488" w14:textId="77777777" w:rsidTr="0077053E">
        <w:tc>
          <w:tcPr>
            <w:tcW w:w="4400" w:type="pct"/>
            <w:gridSpan w:val="4"/>
          </w:tcPr>
          <w:p w14:paraId="3D268AFA" w14:textId="77777777" w:rsidR="00BF2355" w:rsidRPr="00F54252" w:rsidRDefault="00BF2355" w:rsidP="0077053E">
            <w:pPr>
              <w:rPr>
                <w:b/>
                <w:bCs/>
                <w:lang w:val="en-US"/>
              </w:rPr>
            </w:pPr>
            <w:r w:rsidRPr="00F54252">
              <w:rPr>
                <w:b/>
                <w:bCs/>
                <w:lang w:val="en-US"/>
              </w:rPr>
              <w:t>Tumor grade</w:t>
            </w:r>
          </w:p>
        </w:tc>
        <w:tc>
          <w:tcPr>
            <w:tcW w:w="600" w:type="pct"/>
          </w:tcPr>
          <w:p w14:paraId="0AAE663A" w14:textId="77777777" w:rsidR="00BF2355" w:rsidRPr="00F54252" w:rsidRDefault="00BF2355" w:rsidP="0077053E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F54252">
              <w:rPr>
                <w:rFonts w:cstheme="minorHAnsi"/>
                <w:sz w:val="14"/>
                <w:szCs w:val="14"/>
                <w:lang w:val="en-US"/>
              </w:rPr>
              <w:t>9.6%</w:t>
            </w:r>
          </w:p>
        </w:tc>
      </w:tr>
      <w:tr w:rsidR="00BF2355" w:rsidRPr="00006707" w14:paraId="48F79B09" w14:textId="77777777" w:rsidTr="0077053E">
        <w:tc>
          <w:tcPr>
            <w:tcW w:w="1356" w:type="pct"/>
          </w:tcPr>
          <w:p w14:paraId="5AE1AEB7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Grade 1</w:t>
            </w:r>
          </w:p>
        </w:tc>
        <w:tc>
          <w:tcPr>
            <w:tcW w:w="1220" w:type="pct"/>
          </w:tcPr>
          <w:p w14:paraId="1EF87F3E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26.1%</w:t>
            </w:r>
          </w:p>
        </w:tc>
        <w:tc>
          <w:tcPr>
            <w:tcW w:w="1144" w:type="pct"/>
          </w:tcPr>
          <w:p w14:paraId="3E36426B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23.1%</w:t>
            </w:r>
          </w:p>
        </w:tc>
        <w:tc>
          <w:tcPr>
            <w:tcW w:w="679" w:type="pct"/>
          </w:tcPr>
          <w:p w14:paraId="429ED4FE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0.39</w:t>
            </w:r>
          </w:p>
        </w:tc>
        <w:tc>
          <w:tcPr>
            <w:tcW w:w="600" w:type="pct"/>
          </w:tcPr>
          <w:p w14:paraId="625DF11C" w14:textId="77777777" w:rsidR="00BF2355" w:rsidRPr="00F54252" w:rsidRDefault="00BF2355" w:rsidP="0077053E">
            <w:pPr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BF2355" w:rsidRPr="00006707" w14:paraId="5612ADC8" w14:textId="77777777" w:rsidTr="0077053E">
        <w:tc>
          <w:tcPr>
            <w:tcW w:w="1356" w:type="pct"/>
          </w:tcPr>
          <w:p w14:paraId="5E037645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Grade 2</w:t>
            </w:r>
          </w:p>
        </w:tc>
        <w:tc>
          <w:tcPr>
            <w:tcW w:w="1220" w:type="pct"/>
          </w:tcPr>
          <w:p w14:paraId="45DD1247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56.5%</w:t>
            </w:r>
          </w:p>
        </w:tc>
        <w:tc>
          <w:tcPr>
            <w:tcW w:w="1144" w:type="pct"/>
          </w:tcPr>
          <w:p w14:paraId="4D130622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69.2%</w:t>
            </w:r>
          </w:p>
        </w:tc>
        <w:tc>
          <w:tcPr>
            <w:tcW w:w="679" w:type="pct"/>
          </w:tcPr>
          <w:p w14:paraId="6DDF261C" w14:textId="77777777" w:rsidR="00BF2355" w:rsidRPr="00F54252" w:rsidRDefault="00BF2355" w:rsidP="0077053E">
            <w:pPr>
              <w:rPr>
                <w:lang w:val="en-US"/>
              </w:rPr>
            </w:pPr>
          </w:p>
        </w:tc>
        <w:tc>
          <w:tcPr>
            <w:tcW w:w="600" w:type="pct"/>
          </w:tcPr>
          <w:p w14:paraId="24C5DF42" w14:textId="77777777" w:rsidR="00BF2355" w:rsidRPr="00F54252" w:rsidRDefault="00BF2355" w:rsidP="0077053E">
            <w:pPr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BF2355" w:rsidRPr="00006707" w14:paraId="6A50056C" w14:textId="77777777" w:rsidTr="0077053E">
        <w:tc>
          <w:tcPr>
            <w:tcW w:w="1356" w:type="pct"/>
          </w:tcPr>
          <w:p w14:paraId="25A1C473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Grade 3</w:t>
            </w:r>
          </w:p>
        </w:tc>
        <w:tc>
          <w:tcPr>
            <w:tcW w:w="1220" w:type="pct"/>
          </w:tcPr>
          <w:p w14:paraId="49FA2DBE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17.4%</w:t>
            </w:r>
          </w:p>
        </w:tc>
        <w:tc>
          <w:tcPr>
            <w:tcW w:w="1144" w:type="pct"/>
          </w:tcPr>
          <w:p w14:paraId="1DB9B42F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7.7%</w:t>
            </w:r>
          </w:p>
        </w:tc>
        <w:tc>
          <w:tcPr>
            <w:tcW w:w="679" w:type="pct"/>
          </w:tcPr>
          <w:p w14:paraId="78422099" w14:textId="77777777" w:rsidR="00BF2355" w:rsidRPr="00F54252" w:rsidRDefault="00BF2355" w:rsidP="0077053E">
            <w:pPr>
              <w:rPr>
                <w:lang w:val="en-US"/>
              </w:rPr>
            </w:pPr>
          </w:p>
        </w:tc>
        <w:tc>
          <w:tcPr>
            <w:tcW w:w="600" w:type="pct"/>
          </w:tcPr>
          <w:p w14:paraId="1BE99042" w14:textId="77777777" w:rsidR="00BF2355" w:rsidRPr="00F54252" w:rsidRDefault="00BF2355" w:rsidP="0077053E">
            <w:pPr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BF2355" w:rsidRPr="00006707" w14:paraId="3268B1F9" w14:textId="77777777" w:rsidTr="0077053E">
        <w:tc>
          <w:tcPr>
            <w:tcW w:w="4400" w:type="pct"/>
            <w:gridSpan w:val="4"/>
          </w:tcPr>
          <w:p w14:paraId="1AECEB16" w14:textId="77777777" w:rsidR="00BF2355" w:rsidRPr="00F54252" w:rsidRDefault="00BF2355" w:rsidP="0077053E">
            <w:pPr>
              <w:rPr>
                <w:b/>
                <w:bCs/>
                <w:lang w:val="en-US"/>
              </w:rPr>
            </w:pPr>
            <w:r w:rsidRPr="00F54252">
              <w:rPr>
                <w:b/>
                <w:bCs/>
                <w:lang w:val="en-US"/>
              </w:rPr>
              <w:t>Type of breast surgery</w:t>
            </w:r>
          </w:p>
        </w:tc>
        <w:tc>
          <w:tcPr>
            <w:tcW w:w="600" w:type="pct"/>
          </w:tcPr>
          <w:p w14:paraId="0E035F38" w14:textId="77777777" w:rsidR="00BF2355" w:rsidRPr="00F54252" w:rsidRDefault="00BF2355" w:rsidP="0077053E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F54252">
              <w:rPr>
                <w:rFonts w:cstheme="minorHAnsi"/>
                <w:sz w:val="14"/>
                <w:szCs w:val="14"/>
                <w:lang w:val="en-US"/>
              </w:rPr>
              <w:t>4.8%</w:t>
            </w:r>
          </w:p>
        </w:tc>
      </w:tr>
      <w:tr w:rsidR="00BF2355" w:rsidRPr="00006707" w14:paraId="739916A0" w14:textId="77777777" w:rsidTr="0077053E">
        <w:tc>
          <w:tcPr>
            <w:tcW w:w="1356" w:type="pct"/>
          </w:tcPr>
          <w:p w14:paraId="758073FF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Breast conserving surgery</w:t>
            </w:r>
          </w:p>
        </w:tc>
        <w:tc>
          <w:tcPr>
            <w:tcW w:w="1220" w:type="pct"/>
          </w:tcPr>
          <w:p w14:paraId="5BEEF5F8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87.5%</w:t>
            </w:r>
          </w:p>
        </w:tc>
        <w:tc>
          <w:tcPr>
            <w:tcW w:w="1144" w:type="pct"/>
          </w:tcPr>
          <w:p w14:paraId="795F2081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70.9%</w:t>
            </w:r>
          </w:p>
        </w:tc>
        <w:tc>
          <w:tcPr>
            <w:tcW w:w="679" w:type="pct"/>
          </w:tcPr>
          <w:p w14:paraId="516EE6E7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0.19</w:t>
            </w:r>
          </w:p>
        </w:tc>
        <w:tc>
          <w:tcPr>
            <w:tcW w:w="600" w:type="pct"/>
          </w:tcPr>
          <w:p w14:paraId="269D1771" w14:textId="77777777" w:rsidR="00BF2355" w:rsidRPr="00F54252" w:rsidRDefault="00BF2355" w:rsidP="0077053E">
            <w:pPr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BF2355" w:rsidRPr="00006707" w14:paraId="25ACC58B" w14:textId="77777777" w:rsidTr="0077053E">
        <w:tc>
          <w:tcPr>
            <w:tcW w:w="1356" w:type="pct"/>
          </w:tcPr>
          <w:p w14:paraId="5305EA64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Mastectomy</w:t>
            </w:r>
          </w:p>
        </w:tc>
        <w:tc>
          <w:tcPr>
            <w:tcW w:w="1220" w:type="pct"/>
          </w:tcPr>
          <w:p w14:paraId="24FDD852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12.5%</w:t>
            </w:r>
          </w:p>
        </w:tc>
        <w:tc>
          <w:tcPr>
            <w:tcW w:w="1144" w:type="pct"/>
          </w:tcPr>
          <w:p w14:paraId="39607B09" w14:textId="77777777" w:rsidR="00BF2355" w:rsidRPr="00F54252" w:rsidRDefault="00BF2355" w:rsidP="0077053E">
            <w:pPr>
              <w:rPr>
                <w:lang w:val="en-US"/>
              </w:rPr>
            </w:pPr>
            <w:r w:rsidRPr="00F54252">
              <w:rPr>
                <w:lang w:val="en-US"/>
              </w:rPr>
              <w:t>29.1%</w:t>
            </w:r>
          </w:p>
        </w:tc>
        <w:tc>
          <w:tcPr>
            <w:tcW w:w="679" w:type="pct"/>
          </w:tcPr>
          <w:p w14:paraId="455CD96B" w14:textId="77777777" w:rsidR="00BF2355" w:rsidRPr="00F54252" w:rsidRDefault="00BF2355" w:rsidP="0077053E">
            <w:pPr>
              <w:rPr>
                <w:lang w:val="en-US"/>
              </w:rPr>
            </w:pPr>
          </w:p>
        </w:tc>
        <w:tc>
          <w:tcPr>
            <w:tcW w:w="600" w:type="pct"/>
          </w:tcPr>
          <w:p w14:paraId="160DACD9" w14:textId="77777777" w:rsidR="00BF2355" w:rsidRPr="00F54252" w:rsidRDefault="00BF2355" w:rsidP="0077053E">
            <w:pPr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</w:tbl>
    <w:p w14:paraId="70232EA0" w14:textId="77777777" w:rsidR="00BF2355" w:rsidRPr="00F54252" w:rsidRDefault="00BF2355" w:rsidP="00BF2355">
      <w:pPr>
        <w:rPr>
          <w:lang w:val="en-US"/>
        </w:rPr>
      </w:pPr>
    </w:p>
    <w:p w14:paraId="3F1EEB08" w14:textId="77777777" w:rsidR="00BF2355" w:rsidRDefault="00BF2355"/>
    <w:sectPr w:rsidR="00BF2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355"/>
    <w:rsid w:val="001261B8"/>
    <w:rsid w:val="0043071B"/>
    <w:rsid w:val="005C0C26"/>
    <w:rsid w:val="00836C5C"/>
    <w:rsid w:val="009B60F9"/>
    <w:rsid w:val="00BF2355"/>
    <w:rsid w:val="00D37BF9"/>
    <w:rsid w:val="00DB6D2B"/>
    <w:rsid w:val="00F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1795"/>
  <w15:chartTrackingRefBased/>
  <w15:docId w15:val="{E385D9C4-C12E-41BF-AADB-63B983E0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355"/>
  </w:style>
  <w:style w:type="paragraph" w:styleId="berschrift1">
    <w:name w:val="heading 1"/>
    <w:basedOn w:val="Standard"/>
    <w:next w:val="Standard"/>
    <w:link w:val="berschrift1Zchn"/>
    <w:uiPriority w:val="9"/>
    <w:qFormat/>
    <w:rsid w:val="00BF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23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F235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F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heidinger@usb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Heidinger</dc:creator>
  <cp:keywords/>
  <dc:description/>
  <cp:lastModifiedBy>Martin Heidinger</cp:lastModifiedBy>
  <cp:revision>2</cp:revision>
  <dcterms:created xsi:type="dcterms:W3CDTF">2023-05-23T06:09:00Z</dcterms:created>
  <dcterms:modified xsi:type="dcterms:W3CDTF">2023-05-23T06:09:00Z</dcterms:modified>
</cp:coreProperties>
</file>