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3196D73B" w14:textId="13CC3C2A" w:rsidR="00EB71AA" w:rsidRPr="00EB71AA" w:rsidRDefault="00EB71AA" w:rsidP="00EB71AA">
      <w:pPr>
        <w:spacing w:line="480" w:lineRule="auto"/>
        <w:jc w:val="center"/>
        <w:rPr>
          <w:rFonts w:ascii="Arial" w:hAnsi="Arial" w:cs="Arial"/>
          <w:b/>
          <w:bCs/>
          <w:color w:val="FF0000"/>
        </w:rPr>
      </w:pPr>
      <w:r w:rsidRPr="00EB71AA">
        <w:rPr>
          <w:rFonts w:ascii="Arial" w:hAnsi="Arial" w:cs="Arial"/>
          <w:b/>
          <w:bCs/>
          <w:noProof/>
          <w:color w:val="FF0000"/>
          <w:lang w:val="en-IN" w:eastAsia="en-IN"/>
        </w:rPr>
        <mc:AlternateContent>
          <mc:Choice Requires="wps">
            <w:drawing>
              <wp:anchor distT="0" distB="0" distL="114300" distR="114300" simplePos="0" relativeHeight="251659264" behindDoc="0" locked="0" layoutInCell="1" allowOverlap="1" wp14:anchorId="518F08B8" wp14:editId="774E6863">
                <wp:simplePos x="0" y="0"/>
                <wp:positionH relativeFrom="column">
                  <wp:posOffset>-22860</wp:posOffset>
                </wp:positionH>
                <wp:positionV relativeFrom="paragraph">
                  <wp:posOffset>328930</wp:posOffset>
                </wp:positionV>
                <wp:extent cx="5667375" cy="95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5667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03AF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5.9pt" to="444.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" strokecolor="black [3213]" strokeweight=".5pt">
                <v:stroke joinstyle="miter"/>
              </v:line>
            </w:pict>
          </mc:Fallback>
        </mc:AlternateContent>
      </w:r>
      <w:r w:rsidR="00A21760">
        <w:rPr>
          <w:rFonts w:ascii="Arial" w:hAnsi="Arial" w:cs="Arial"/>
          <w:b/>
          <w:bCs/>
          <w:color w:val="FF0000"/>
        </w:rPr>
        <w:t xml:space="preserve">Additional </w:t>
      </w:r>
      <w:bookmarkEnd w:id="0"/>
      <w:r w:rsidRPr="00EB71AA">
        <w:rPr>
          <w:rFonts w:ascii="Arial" w:hAnsi="Arial" w:cs="Arial"/>
          <w:b/>
          <w:bCs/>
          <w:color w:val="FF0000"/>
        </w:rPr>
        <w:t>Material</w:t>
      </w:r>
    </w:p>
    <w:p w14:paraId="02CBCA07" w14:textId="77777777" w:rsidR="00EB71AA" w:rsidRPr="00EB71AA" w:rsidRDefault="00EB71AA" w:rsidP="00EB71AA">
      <w:pPr>
        <w:spacing w:line="360" w:lineRule="auto"/>
        <w:jc w:val="both"/>
        <w:rPr>
          <w:rFonts w:ascii="Arial" w:hAnsi="Arial" w:cs="Arial"/>
        </w:rPr>
      </w:pPr>
      <w:r w:rsidRPr="00EB71AA">
        <w:rPr>
          <w:rFonts w:ascii="Arial" w:hAnsi="Arial" w:cs="Arial"/>
        </w:rPr>
        <w:t xml:space="preserve">This appendix has been provided by the authors to give readers additional information about their work. </w:t>
      </w:r>
    </w:p>
    <w:p w14:paraId="5F122EFB" w14:textId="77777777" w:rsidR="00EB71AA" w:rsidRPr="00EB71AA" w:rsidRDefault="00EB71AA" w:rsidP="00EB71AA">
      <w:pPr>
        <w:spacing w:line="360" w:lineRule="auto"/>
        <w:jc w:val="both"/>
        <w:rPr>
          <w:rFonts w:ascii="Arial" w:hAnsi="Arial" w:cs="Arial"/>
        </w:rPr>
      </w:pPr>
    </w:p>
    <w:p w14:paraId="57A1351E" w14:textId="5ADD5ACB" w:rsidR="00EB71AA" w:rsidRPr="00EB71AA" w:rsidRDefault="00A21760" w:rsidP="00EB71AA">
      <w:pPr>
        <w:spacing w:line="360" w:lineRule="auto"/>
        <w:jc w:val="both"/>
        <w:rPr>
          <w:rFonts w:ascii="Arial" w:hAnsi="Arial" w:cs="Arial"/>
        </w:rPr>
      </w:pPr>
      <w:r>
        <w:rPr>
          <w:rFonts w:ascii="Arial" w:hAnsi="Arial" w:cs="Arial"/>
          <w:b/>
          <w:bCs/>
          <w:color w:val="FF0000"/>
        </w:rPr>
        <w:t xml:space="preserve">Additional </w:t>
      </w:r>
      <w:r w:rsidR="00EB71AA" w:rsidRPr="00EB71AA">
        <w:rPr>
          <w:rFonts w:ascii="Arial" w:hAnsi="Arial" w:cs="Arial"/>
          <w:b/>
          <w:bCs/>
          <w:color w:val="FF0000"/>
        </w:rPr>
        <w:t xml:space="preserve"> to:</w:t>
      </w:r>
      <w:r w:rsidR="00EB71AA" w:rsidRPr="00EB71AA">
        <w:rPr>
          <w:rFonts w:ascii="Arial" w:hAnsi="Arial" w:cs="Arial"/>
          <w:color w:val="FF0000"/>
        </w:rPr>
        <w:t xml:space="preserve"> </w:t>
      </w:r>
      <w:r w:rsidR="00EB71AA" w:rsidRPr="00EB71AA">
        <w:rPr>
          <w:rFonts w:ascii="Arial" w:hAnsi="Arial" w:cs="Arial"/>
        </w:rPr>
        <w:t>Autoimmunity is a Hallmark of Post-COVID Syndrome</w:t>
      </w:r>
      <w:r w:rsidR="00EB71AA">
        <w:rPr>
          <w:rFonts w:ascii="Arial" w:hAnsi="Arial" w:cs="Arial"/>
        </w:rPr>
        <w:t>.</w:t>
      </w:r>
    </w:p>
    <w:p w14:paraId="5E7F99E3" w14:textId="1456210D" w:rsidR="00EB71AA" w:rsidRPr="00EB71AA" w:rsidRDefault="00EB71AA" w:rsidP="00EB71AA">
      <w:pPr>
        <w:pStyle w:val="Teaser"/>
        <w:spacing w:line="360" w:lineRule="auto"/>
        <w:jc w:val="both"/>
        <w:rPr>
          <w:rFonts w:ascii="Arial" w:hAnsi="Arial" w:cs="Arial"/>
          <w:lang w:val="es-CO"/>
        </w:rPr>
      </w:pPr>
      <w:r w:rsidRPr="00EB71AA">
        <w:rPr>
          <w:rFonts w:ascii="Arial" w:hAnsi="Arial" w:cs="Arial"/>
          <w:b/>
          <w:bCs/>
          <w:color w:val="FF0000"/>
        </w:rPr>
        <w:t xml:space="preserve">Authors: </w:t>
      </w:r>
      <w:bookmarkStart w:id="1" w:name="_Hlk77688670"/>
      <w:r w:rsidRPr="00EB71AA">
        <w:rPr>
          <w:rFonts w:ascii="Arial" w:hAnsi="Arial" w:cs="Arial"/>
          <w:lang w:val="es-CO"/>
        </w:rPr>
        <w:t>Manuel Rojas</w:t>
      </w:r>
      <w:r w:rsidRPr="00EB71AA">
        <w:rPr>
          <w:rFonts w:ascii="Arial" w:hAnsi="Arial" w:cs="Arial"/>
          <w:vertAlign w:val="superscript"/>
          <w:lang w:val="es-CO"/>
        </w:rPr>
        <w:t>1</w:t>
      </w:r>
      <w:r w:rsidRPr="00EB71AA">
        <w:rPr>
          <w:rFonts w:ascii="Arial" w:hAnsi="Arial" w:cs="Arial"/>
          <w:lang w:val="es-CO"/>
        </w:rPr>
        <w:t>, Yhojan Rodríguez</w:t>
      </w:r>
      <w:r w:rsidRPr="00EB71AA">
        <w:rPr>
          <w:rFonts w:ascii="Arial" w:hAnsi="Arial" w:cs="Arial"/>
          <w:vertAlign w:val="superscript"/>
          <w:lang w:val="es-CO"/>
        </w:rPr>
        <w:t>1, 2</w:t>
      </w:r>
      <w:r w:rsidRPr="00EB71AA">
        <w:rPr>
          <w:rFonts w:ascii="Arial" w:hAnsi="Arial" w:cs="Arial"/>
          <w:lang w:val="es-CO"/>
        </w:rPr>
        <w:t>, Yeny Acosta-Ampudia</w:t>
      </w:r>
      <w:r w:rsidRPr="00EB71AA">
        <w:rPr>
          <w:rFonts w:ascii="Arial" w:hAnsi="Arial" w:cs="Arial"/>
          <w:vertAlign w:val="superscript"/>
          <w:lang w:val="es-CO"/>
        </w:rPr>
        <w:t>1</w:t>
      </w:r>
      <w:r w:rsidRPr="00EB71AA">
        <w:rPr>
          <w:rFonts w:ascii="Arial" w:hAnsi="Arial" w:cs="Arial"/>
          <w:lang w:val="es-CO"/>
        </w:rPr>
        <w:t>, Diana M. Monsalve</w:t>
      </w:r>
      <w:r w:rsidRPr="00EB71AA">
        <w:rPr>
          <w:rFonts w:ascii="Arial" w:hAnsi="Arial" w:cs="Arial"/>
          <w:vertAlign w:val="superscript"/>
          <w:lang w:val="es-CO"/>
        </w:rPr>
        <w:t>1</w:t>
      </w:r>
      <w:r w:rsidRPr="00EB71AA">
        <w:rPr>
          <w:rFonts w:ascii="Arial" w:hAnsi="Arial" w:cs="Arial"/>
          <w:lang w:val="es-CO"/>
        </w:rPr>
        <w:t>, Chengsong Zhu</w:t>
      </w:r>
      <w:r w:rsidRPr="00EB71AA">
        <w:rPr>
          <w:rFonts w:ascii="Arial" w:hAnsi="Arial" w:cs="Arial"/>
          <w:vertAlign w:val="superscript"/>
          <w:lang w:val="es-CO"/>
        </w:rPr>
        <w:t>3</w:t>
      </w:r>
      <w:r w:rsidRPr="00EB71AA">
        <w:rPr>
          <w:rFonts w:ascii="Arial" w:hAnsi="Arial" w:cs="Arial"/>
          <w:lang w:val="es-CO"/>
        </w:rPr>
        <w:t>, Quan-Zhen Li</w:t>
      </w:r>
      <w:r w:rsidRPr="00EB71AA">
        <w:rPr>
          <w:rFonts w:ascii="Arial" w:hAnsi="Arial" w:cs="Arial"/>
          <w:vertAlign w:val="superscript"/>
          <w:lang w:val="es-CO"/>
        </w:rPr>
        <w:t>3</w:t>
      </w:r>
      <w:r w:rsidRPr="00EB71AA">
        <w:rPr>
          <w:rFonts w:ascii="Arial" w:hAnsi="Arial" w:cs="Arial"/>
          <w:lang w:val="es-CO"/>
        </w:rPr>
        <w:t>, Carolina Ramírez-Santana</w:t>
      </w:r>
      <w:r w:rsidRPr="00EB71AA">
        <w:rPr>
          <w:rFonts w:ascii="Arial" w:hAnsi="Arial" w:cs="Arial"/>
          <w:vertAlign w:val="superscript"/>
          <w:lang w:val="es-CO"/>
        </w:rPr>
        <w:t>1</w:t>
      </w:r>
      <w:r w:rsidRPr="00EB71AA">
        <w:rPr>
          <w:rFonts w:ascii="Arial" w:hAnsi="Arial" w:cs="Arial"/>
          <w:lang w:val="es-CO"/>
        </w:rPr>
        <w:t>,</w:t>
      </w:r>
      <w:r>
        <w:rPr>
          <w:rFonts w:ascii="Arial" w:hAnsi="Arial" w:cs="Arial"/>
          <w:lang w:val="es-CO"/>
        </w:rPr>
        <w:t xml:space="preserve"> </w:t>
      </w:r>
      <w:r w:rsidRPr="00EB71AA">
        <w:rPr>
          <w:rFonts w:ascii="Arial" w:hAnsi="Arial" w:cs="Arial"/>
          <w:lang w:val="es-CO"/>
        </w:rPr>
        <w:t>Juan-Manuel Anaya</w:t>
      </w:r>
      <w:r w:rsidRPr="00EB71AA">
        <w:rPr>
          <w:rFonts w:ascii="Arial" w:hAnsi="Arial" w:cs="Arial"/>
          <w:vertAlign w:val="superscript"/>
          <w:lang w:val="es-CO"/>
        </w:rPr>
        <w:t>1, 2*</w:t>
      </w:r>
    </w:p>
    <w:p w14:paraId="603F7912" w14:textId="77777777" w:rsidR="00EB71AA" w:rsidRPr="00EB71AA" w:rsidRDefault="00EB71AA" w:rsidP="00EB71AA">
      <w:pPr>
        <w:jc w:val="both"/>
        <w:rPr>
          <w:rFonts w:ascii="Arial" w:hAnsi="Arial" w:cs="Arial"/>
          <w:vertAlign w:val="superscript"/>
        </w:rPr>
      </w:pPr>
    </w:p>
    <w:bookmarkEnd w:id="1"/>
    <w:p w14:paraId="58DE08E5" w14:textId="478FC681" w:rsidR="00EB71AA" w:rsidRPr="00265F44" w:rsidRDefault="00EB71AA" w:rsidP="00EB71AA">
      <w:pPr>
        <w:spacing w:line="480" w:lineRule="auto"/>
        <w:rPr>
          <w:rFonts w:ascii="Arial" w:eastAsia="Arial" w:hAnsi="Arial" w:cs="Arial"/>
          <w:color w:val="000000" w:themeColor="text1"/>
          <w:lang w:eastAsia="es-ES"/>
        </w:rPr>
      </w:pPr>
      <w:r w:rsidRPr="00265F44">
        <w:rPr>
          <w:rFonts w:ascii="Arial" w:eastAsia="Arial" w:hAnsi="Arial" w:cs="Arial"/>
          <w:color w:val="000000" w:themeColor="text1"/>
          <w:vertAlign w:val="superscript"/>
        </w:rPr>
        <w:t xml:space="preserve">1 </w:t>
      </w:r>
      <w:r w:rsidRPr="00265F44">
        <w:rPr>
          <w:rFonts w:ascii="Arial" w:eastAsia="Arial" w:hAnsi="Arial" w:cs="Arial"/>
          <w:color w:val="000000" w:themeColor="text1"/>
          <w:lang w:eastAsia="es-ES"/>
        </w:rPr>
        <w:t>Center for Autoimmune Diseases Research (CREA), School of Medicine and Health Sciences, Universidad del Rosario, Bogot</w:t>
      </w:r>
      <w:r>
        <w:rPr>
          <w:rFonts w:ascii="Arial" w:eastAsia="Arial" w:hAnsi="Arial" w:cs="Arial"/>
          <w:color w:val="000000" w:themeColor="text1"/>
          <w:lang w:eastAsia="es-ES"/>
        </w:rPr>
        <w:t>a</w:t>
      </w:r>
      <w:r w:rsidRPr="00265F44">
        <w:rPr>
          <w:rFonts w:ascii="Arial" w:eastAsia="Arial" w:hAnsi="Arial" w:cs="Arial"/>
          <w:color w:val="000000" w:themeColor="text1"/>
          <w:lang w:eastAsia="es-ES"/>
        </w:rPr>
        <w:t>, Colombia</w:t>
      </w:r>
    </w:p>
    <w:p w14:paraId="59081F3E" w14:textId="77777777" w:rsidR="00EB71AA" w:rsidRDefault="00EB71AA" w:rsidP="00EB71AA">
      <w:pPr>
        <w:spacing w:line="480" w:lineRule="auto"/>
        <w:outlineLvl w:val="0"/>
        <w:rPr>
          <w:rFonts w:ascii="Arial" w:eastAsia="Arial" w:hAnsi="Arial" w:cs="Arial"/>
          <w:color w:val="000000" w:themeColor="text1"/>
          <w:lang w:eastAsia="es-ES"/>
        </w:rPr>
      </w:pPr>
      <w:r w:rsidRPr="00265F44">
        <w:rPr>
          <w:rFonts w:ascii="Arial" w:eastAsia="Arial" w:hAnsi="Arial" w:cs="Arial"/>
          <w:color w:val="000000" w:themeColor="text1"/>
          <w:vertAlign w:val="superscript"/>
          <w:lang w:eastAsia="es-ES"/>
        </w:rPr>
        <w:t xml:space="preserve">2 </w:t>
      </w:r>
      <w:r w:rsidRPr="00265F44">
        <w:rPr>
          <w:rFonts w:ascii="Arial" w:eastAsia="Arial" w:hAnsi="Arial" w:cs="Arial"/>
          <w:color w:val="000000" w:themeColor="text1"/>
          <w:lang w:eastAsia="es-ES"/>
        </w:rPr>
        <w:t>Clínica del Occidente, Bogot</w:t>
      </w:r>
      <w:r>
        <w:rPr>
          <w:rFonts w:ascii="Arial" w:eastAsia="Arial" w:hAnsi="Arial" w:cs="Arial"/>
          <w:color w:val="000000" w:themeColor="text1"/>
          <w:lang w:eastAsia="es-ES"/>
        </w:rPr>
        <w:t>a</w:t>
      </w:r>
      <w:r w:rsidRPr="00265F44">
        <w:rPr>
          <w:rFonts w:ascii="Arial" w:eastAsia="Arial" w:hAnsi="Arial" w:cs="Arial"/>
          <w:color w:val="000000" w:themeColor="text1"/>
          <w:lang w:eastAsia="es-ES"/>
        </w:rPr>
        <w:t>, Colombia</w:t>
      </w:r>
    </w:p>
    <w:p w14:paraId="27A381F7" w14:textId="77777777" w:rsidR="00EB71AA" w:rsidRPr="00265F44" w:rsidRDefault="00EB71AA" w:rsidP="00EB71AA">
      <w:pPr>
        <w:spacing w:line="480" w:lineRule="auto"/>
        <w:rPr>
          <w:rFonts w:ascii="Arial" w:eastAsia="Arial" w:hAnsi="Arial" w:cs="Arial"/>
          <w:color w:val="000000" w:themeColor="text1"/>
          <w:lang w:eastAsia="es-ES"/>
        </w:rPr>
      </w:pPr>
      <w:r w:rsidRPr="001821BC">
        <w:rPr>
          <w:rFonts w:ascii="Arial" w:eastAsia="Arial" w:hAnsi="Arial" w:cs="Arial"/>
          <w:color w:val="000000" w:themeColor="text1"/>
          <w:vertAlign w:val="superscript"/>
          <w:lang w:eastAsia="es-ES"/>
        </w:rPr>
        <w:t xml:space="preserve">3 </w:t>
      </w:r>
      <w:r w:rsidRPr="001821BC">
        <w:rPr>
          <w:rFonts w:ascii="Arial" w:eastAsia="Arial" w:hAnsi="Arial" w:cs="Arial"/>
          <w:color w:val="000000" w:themeColor="text1"/>
          <w:lang w:eastAsia="es-ES"/>
        </w:rPr>
        <w:t>Department of Immunology, Microarray &amp; Immune Phenotyping Core Facility, University of Texas Southwestern Medical Center, Dallas, USA</w:t>
      </w:r>
    </w:p>
    <w:p w14:paraId="3A9DEF79" w14:textId="77777777" w:rsidR="00EB71AA" w:rsidRDefault="00EB71AA" w:rsidP="00EB71AA">
      <w:pPr>
        <w:spacing w:line="480" w:lineRule="auto"/>
        <w:outlineLvl w:val="0"/>
        <w:rPr>
          <w:rFonts w:ascii="Arial" w:eastAsia="Arial" w:hAnsi="Arial" w:cs="Arial"/>
          <w:b/>
          <w:bCs/>
          <w:color w:val="000000" w:themeColor="text1"/>
          <w:lang w:eastAsia="es-ES"/>
        </w:rPr>
      </w:pPr>
    </w:p>
    <w:p w14:paraId="73783513" w14:textId="6C8EBAB7" w:rsidR="00EB71AA" w:rsidRPr="00265F44" w:rsidRDefault="00EB71AA" w:rsidP="00EB71AA">
      <w:pPr>
        <w:spacing w:line="480" w:lineRule="auto"/>
        <w:outlineLvl w:val="0"/>
        <w:rPr>
          <w:rFonts w:ascii="Arial" w:eastAsia="Arial" w:hAnsi="Arial" w:cs="Arial"/>
          <w:b/>
          <w:bCs/>
          <w:color w:val="000000" w:themeColor="text1"/>
          <w:lang w:eastAsia="es-ES"/>
        </w:rPr>
      </w:pPr>
      <w:r w:rsidRPr="00265F44">
        <w:rPr>
          <w:rFonts w:ascii="Arial" w:eastAsia="Arial" w:hAnsi="Arial" w:cs="Arial"/>
          <w:b/>
          <w:bCs/>
          <w:color w:val="000000" w:themeColor="text1"/>
          <w:lang w:eastAsia="es-ES"/>
        </w:rPr>
        <w:t>Corresponding author</w:t>
      </w:r>
    </w:p>
    <w:p w14:paraId="65992066" w14:textId="3B9933D1" w:rsidR="00EB71AA" w:rsidRPr="00265F44" w:rsidRDefault="00EB71AA" w:rsidP="00EB71AA">
      <w:pPr>
        <w:pBdr>
          <w:top w:val="nil"/>
          <w:left w:val="nil"/>
          <w:bottom w:val="nil"/>
          <w:right w:val="nil"/>
          <w:between w:val="nil"/>
        </w:pBdr>
        <w:spacing w:line="480" w:lineRule="auto"/>
        <w:rPr>
          <w:rFonts w:ascii="Arial" w:eastAsia="Arial" w:hAnsi="Arial" w:cs="Arial"/>
          <w:color w:val="000000" w:themeColor="text1"/>
        </w:rPr>
      </w:pPr>
      <w:r>
        <w:rPr>
          <w:rFonts w:ascii="Arial" w:eastAsia="Arial" w:hAnsi="Arial" w:cs="Arial"/>
          <w:color w:val="000000" w:themeColor="text1"/>
        </w:rPr>
        <w:t>*</w:t>
      </w:r>
      <w:r w:rsidRPr="00265F44">
        <w:rPr>
          <w:rFonts w:ascii="Arial" w:eastAsia="Arial" w:hAnsi="Arial" w:cs="Arial"/>
          <w:color w:val="000000" w:themeColor="text1"/>
        </w:rPr>
        <w:t>Juan-Manuel Anaya, MD, PhD.</w:t>
      </w:r>
      <w:r w:rsidRPr="00265F44">
        <w:rPr>
          <w:rFonts w:ascii="Arial" w:hAnsi="Arial" w:cs="Arial"/>
        </w:rPr>
        <w:br/>
      </w:r>
      <w:r w:rsidRPr="00265F44">
        <w:rPr>
          <w:rFonts w:ascii="Arial" w:eastAsia="Arial" w:hAnsi="Arial" w:cs="Arial"/>
          <w:color w:val="000000" w:themeColor="text1"/>
        </w:rPr>
        <w:t xml:space="preserve">Center for Autoimmune Diseases Research (CREA), School of Medicine and Health Sciences, Universidad </w:t>
      </w:r>
      <w:r>
        <w:rPr>
          <w:rFonts w:ascii="Arial" w:eastAsia="Arial" w:hAnsi="Arial" w:cs="Arial"/>
          <w:color w:val="000000" w:themeColor="text1"/>
        </w:rPr>
        <w:t>d</w:t>
      </w:r>
      <w:r w:rsidRPr="00265F44">
        <w:rPr>
          <w:rFonts w:ascii="Arial" w:eastAsia="Arial" w:hAnsi="Arial" w:cs="Arial"/>
          <w:color w:val="000000" w:themeColor="text1"/>
        </w:rPr>
        <w:t>el Rosario,</w:t>
      </w:r>
      <w:r w:rsidRPr="00265F44">
        <w:rPr>
          <w:rFonts w:ascii="Arial" w:hAnsi="Arial" w:cs="Arial"/>
        </w:rPr>
        <w:br/>
      </w:r>
      <w:r w:rsidRPr="00265F44">
        <w:rPr>
          <w:rFonts w:ascii="Arial" w:eastAsia="Arial" w:hAnsi="Arial" w:cs="Arial"/>
          <w:color w:val="000000" w:themeColor="text1"/>
        </w:rPr>
        <w:t>Carrera 24 # 63c 69, 110010 Bogot</w:t>
      </w:r>
      <w:r>
        <w:rPr>
          <w:rFonts w:ascii="Arial" w:eastAsia="Arial" w:hAnsi="Arial" w:cs="Arial"/>
          <w:color w:val="000000" w:themeColor="text1"/>
        </w:rPr>
        <w:t>a</w:t>
      </w:r>
      <w:r w:rsidRPr="00265F44">
        <w:rPr>
          <w:rFonts w:ascii="Arial" w:eastAsia="Arial" w:hAnsi="Arial" w:cs="Arial"/>
          <w:color w:val="000000" w:themeColor="text1"/>
        </w:rPr>
        <w:t>, Colombia.</w:t>
      </w:r>
      <w:r w:rsidRPr="00265F44">
        <w:rPr>
          <w:rFonts w:ascii="Arial" w:hAnsi="Arial" w:cs="Arial"/>
        </w:rPr>
        <w:br/>
      </w:r>
      <w:r w:rsidRPr="00265F44">
        <w:rPr>
          <w:rFonts w:ascii="Arial" w:eastAsia="Arial" w:hAnsi="Arial" w:cs="Arial"/>
          <w:color w:val="000000" w:themeColor="text1"/>
        </w:rPr>
        <w:t xml:space="preserve">E-mail address: </w:t>
      </w:r>
      <w:hyperlink r:id="rId6" w:history="1">
        <w:r w:rsidRPr="00265F44">
          <w:rPr>
            <w:rStyle w:val="Hyperlink"/>
            <w:rFonts w:ascii="Arial" w:eastAsia="Arial" w:hAnsi="Arial" w:cs="Arial"/>
          </w:rPr>
          <w:t>juan.anaya@urosario.edu.co</w:t>
        </w:r>
      </w:hyperlink>
      <w:r w:rsidRPr="00265F44">
        <w:rPr>
          <w:rFonts w:ascii="Arial" w:eastAsia="Arial" w:hAnsi="Arial" w:cs="Arial"/>
          <w:color w:val="000000" w:themeColor="text1"/>
        </w:rPr>
        <w:t xml:space="preserve"> </w:t>
      </w:r>
    </w:p>
    <w:p w14:paraId="6D78C248" w14:textId="3E7CC4B1" w:rsidR="00EB71AA" w:rsidRPr="00EB71AA" w:rsidRDefault="00EB71AA" w:rsidP="00EB71AA">
      <w:pPr>
        <w:pStyle w:val="Teaser"/>
        <w:jc w:val="both"/>
        <w:rPr>
          <w:rFonts w:ascii="Arial" w:hAnsi="Arial" w:cs="Arial"/>
          <w:b/>
        </w:rPr>
      </w:pPr>
    </w:p>
    <w:p w14:paraId="4CC23599" w14:textId="3A5D4F3A" w:rsidR="00EB71AA" w:rsidRPr="00EB71AA" w:rsidRDefault="00EB71AA" w:rsidP="00EB71AA">
      <w:pPr>
        <w:spacing w:line="480" w:lineRule="auto"/>
        <w:jc w:val="both"/>
        <w:rPr>
          <w:rFonts w:ascii="Arial" w:hAnsi="Arial" w:cs="Arial"/>
          <w:b/>
        </w:rPr>
      </w:pPr>
      <w:r w:rsidRPr="00EB71AA">
        <w:rPr>
          <w:rFonts w:ascii="Arial" w:hAnsi="Arial" w:cs="Arial"/>
          <w:b/>
          <w:bCs/>
          <w:color w:val="FF0000"/>
        </w:rPr>
        <w:t>Most Recent Update:</w:t>
      </w:r>
      <w:r w:rsidRPr="00EB71AA">
        <w:rPr>
          <w:rFonts w:ascii="Arial" w:hAnsi="Arial" w:cs="Arial"/>
          <w:color w:val="FF0000"/>
        </w:rPr>
        <w:t xml:space="preserve"> </w:t>
      </w:r>
      <w:r>
        <w:rPr>
          <w:rFonts w:ascii="Arial" w:hAnsi="Arial" w:cs="Arial"/>
        </w:rPr>
        <w:t>February 0</w:t>
      </w:r>
      <w:r w:rsidR="0094510E">
        <w:rPr>
          <w:rFonts w:ascii="Arial" w:hAnsi="Arial" w:cs="Arial"/>
        </w:rPr>
        <w:t>7</w:t>
      </w:r>
      <w:r w:rsidRPr="00EB71AA">
        <w:rPr>
          <w:rFonts w:ascii="Arial" w:hAnsi="Arial" w:cs="Arial"/>
        </w:rPr>
        <w:t>, 202</w:t>
      </w:r>
      <w:r>
        <w:rPr>
          <w:rFonts w:ascii="Arial" w:hAnsi="Arial" w:cs="Arial"/>
        </w:rPr>
        <w:t>2</w:t>
      </w:r>
      <w:r w:rsidRPr="00EB71AA">
        <w:rPr>
          <w:rFonts w:ascii="Arial" w:hAnsi="Arial" w:cs="Arial"/>
        </w:rPr>
        <w:t>.</w:t>
      </w:r>
    </w:p>
    <w:p w14:paraId="055B1A55" w14:textId="7A9B2A52" w:rsidR="00EB71AA" w:rsidRDefault="00EB71AA" w:rsidP="00476487">
      <w:pPr>
        <w:spacing w:line="480" w:lineRule="auto"/>
        <w:jc w:val="both"/>
        <w:outlineLvl w:val="0"/>
        <w:rPr>
          <w:rFonts w:ascii="Arial" w:eastAsia="Arial" w:hAnsi="Arial" w:cs="Arial"/>
          <w:b/>
          <w:bCs/>
          <w:i/>
          <w:iCs/>
          <w:color w:val="000000" w:themeColor="text1"/>
        </w:rPr>
      </w:pPr>
    </w:p>
    <w:p w14:paraId="2DB38D7E" w14:textId="5C47DE6F" w:rsidR="00EB71AA" w:rsidRDefault="00EB71AA" w:rsidP="00476487">
      <w:pPr>
        <w:spacing w:line="480" w:lineRule="auto"/>
        <w:jc w:val="both"/>
        <w:outlineLvl w:val="0"/>
        <w:rPr>
          <w:rFonts w:ascii="Arial" w:eastAsia="Arial" w:hAnsi="Arial" w:cs="Arial"/>
          <w:b/>
          <w:bCs/>
          <w:i/>
          <w:iCs/>
          <w:color w:val="000000" w:themeColor="text1"/>
        </w:rPr>
      </w:pPr>
    </w:p>
    <w:p w14:paraId="4C2D22FD" w14:textId="7AA41581" w:rsidR="00EB71AA" w:rsidRDefault="00EB71AA" w:rsidP="00476487">
      <w:pPr>
        <w:spacing w:line="480" w:lineRule="auto"/>
        <w:jc w:val="both"/>
        <w:outlineLvl w:val="0"/>
        <w:rPr>
          <w:rFonts w:ascii="Arial" w:eastAsia="Arial" w:hAnsi="Arial" w:cs="Arial"/>
          <w:b/>
          <w:bCs/>
          <w:i/>
          <w:iCs/>
          <w:color w:val="000000" w:themeColor="text1"/>
        </w:rPr>
      </w:pPr>
    </w:p>
    <w:p w14:paraId="03D9EEA7" w14:textId="5AA528A6" w:rsidR="00EB71AA" w:rsidRDefault="00EB71AA" w:rsidP="00476487">
      <w:pPr>
        <w:spacing w:line="480" w:lineRule="auto"/>
        <w:jc w:val="both"/>
        <w:outlineLvl w:val="0"/>
        <w:rPr>
          <w:rFonts w:ascii="Arial" w:eastAsia="Arial" w:hAnsi="Arial" w:cs="Arial"/>
          <w:b/>
          <w:bCs/>
          <w:i/>
          <w:iCs/>
          <w:color w:val="000000" w:themeColor="text1"/>
        </w:rPr>
      </w:pPr>
    </w:p>
    <w:p w14:paraId="0D155A0D" w14:textId="072C4DDD" w:rsidR="00EB71AA" w:rsidRDefault="00EB71AA" w:rsidP="00476487">
      <w:pPr>
        <w:spacing w:line="480" w:lineRule="auto"/>
        <w:jc w:val="both"/>
        <w:outlineLvl w:val="0"/>
        <w:rPr>
          <w:rFonts w:ascii="Arial" w:eastAsia="Arial" w:hAnsi="Arial" w:cs="Arial"/>
          <w:b/>
          <w:bCs/>
          <w:i/>
          <w:iCs/>
          <w:color w:val="000000" w:themeColor="text1"/>
        </w:rPr>
      </w:pPr>
    </w:p>
    <w:p w14:paraId="49B3C00C" w14:textId="1F069619" w:rsidR="00EB71AA" w:rsidRDefault="00EB71AA" w:rsidP="00476487">
      <w:pPr>
        <w:spacing w:line="480" w:lineRule="auto"/>
        <w:jc w:val="both"/>
        <w:outlineLvl w:val="0"/>
        <w:rPr>
          <w:rFonts w:ascii="Arial" w:eastAsia="Arial" w:hAnsi="Arial" w:cs="Arial"/>
          <w:b/>
          <w:bCs/>
          <w:i/>
          <w:iCs/>
          <w:color w:val="000000" w:themeColor="text1"/>
        </w:rPr>
      </w:pPr>
      <w:r w:rsidRPr="00EB71AA">
        <w:rPr>
          <w:rFonts w:ascii="Arial" w:hAnsi="Arial" w:cs="Arial"/>
          <w:b/>
          <w:bCs/>
          <w:color w:val="FF0000"/>
        </w:rPr>
        <w:t>M</w:t>
      </w:r>
      <w:r>
        <w:rPr>
          <w:rFonts w:ascii="Arial" w:hAnsi="Arial" w:cs="Arial"/>
          <w:b/>
          <w:bCs/>
          <w:color w:val="FF0000"/>
        </w:rPr>
        <w:t>ethods</w:t>
      </w:r>
    </w:p>
    <w:p w14:paraId="610BA44E" w14:textId="68A46247" w:rsidR="00476487" w:rsidRPr="00265F44" w:rsidRDefault="00476487" w:rsidP="00476487">
      <w:pPr>
        <w:spacing w:line="480" w:lineRule="auto"/>
        <w:jc w:val="both"/>
        <w:outlineLvl w:val="0"/>
        <w:rPr>
          <w:rFonts w:ascii="Arial" w:hAnsi="Arial" w:cs="Arial"/>
        </w:rPr>
      </w:pPr>
      <w:r w:rsidRPr="00265F44">
        <w:rPr>
          <w:rFonts w:ascii="Arial" w:eastAsia="Arial" w:hAnsi="Arial" w:cs="Arial"/>
          <w:b/>
          <w:bCs/>
          <w:i/>
          <w:iCs/>
          <w:color w:val="000000" w:themeColor="text1"/>
        </w:rPr>
        <w:t>Study design</w:t>
      </w:r>
    </w:p>
    <w:p w14:paraId="16AB30AF" w14:textId="77777777" w:rsidR="00476487" w:rsidRDefault="00476487" w:rsidP="00476487">
      <w:pPr>
        <w:spacing w:line="480" w:lineRule="auto"/>
        <w:jc w:val="both"/>
        <w:rPr>
          <w:rFonts w:ascii="Arial" w:eastAsia="Arial" w:hAnsi="Arial" w:cs="Arial"/>
        </w:rPr>
      </w:pPr>
      <w:r>
        <w:rPr>
          <w:rFonts w:ascii="Arial" w:eastAsia="Arial" w:hAnsi="Arial" w:cs="Arial"/>
          <w:color w:val="000000" w:themeColor="text1"/>
          <w:lang w:eastAsia="en-US"/>
        </w:rPr>
        <w:t>One-hundred patients with PCS</w:t>
      </w:r>
      <w:r w:rsidRPr="00265F44">
        <w:rPr>
          <w:rFonts w:ascii="Arial" w:eastAsia="Arial" w:hAnsi="Arial" w:cs="Arial"/>
          <w:color w:val="000000" w:themeColor="text1"/>
          <w:lang w:eastAsia="en-US"/>
        </w:rPr>
        <w:t xml:space="preserve"> who participated in a previous study</w:t>
      </w:r>
      <w:r>
        <w:rPr>
          <w:rFonts w:ascii="Arial" w:eastAsia="Arial" w:hAnsi="Arial" w:cs="Arial"/>
          <w:color w:val="000000" w:themeColor="text1"/>
          <w:lang w:eastAsia="en-US"/>
        </w:rPr>
        <w:t xml:space="preserve"> </w:t>
      </w:r>
      <w:r>
        <w:rPr>
          <w:rFonts w:ascii="Arial" w:eastAsia="Arial" w:hAnsi="Arial" w:cs="Arial"/>
          <w:color w:val="000000" w:themeColor="text1"/>
          <w:lang w:eastAsia="en-US"/>
        </w:rPr>
        <w:fldChar w:fldCharType="begin" w:fldLock="1"/>
      </w:r>
      <w:r>
        <w:rPr>
          <w:rFonts w:ascii="Arial" w:eastAsia="Arial" w:hAnsi="Arial" w:cs="Arial"/>
          <w:color w:val="000000" w:themeColor="text1"/>
          <w:lang w:eastAsia="en-US"/>
        </w:rPr>
        <w:instrText>ADDIN CSL_CITATION {"citationItems":[{"id":"ITEM-1","itemData":{"DOI":"10.1016/j.autrev.2021.102947","ISSN":"1873-0183 (Electronic)","PMID":"34509649","abstract":"The existence of a variety of symptoms with a duration beyond the acute phase of  COVID-19, is referred to as post-COVID syndrome (PCS). We aimed to report a series of patients with PCS attending a Post-COVID Unit and offer a comprehensive review on the topic. Adult patients with previously confirmed SARS-CoV-2 infection and PCS were systematically assessed through a semi-structured and validated survey. Total IgG, IgA and IgM serum antibodies to SARS-CoV-2 were evaluated by an electrochemiluminescence immunoassay. A systematic review of the literature and meta-analysis were conducted, following PRISMA guidelines. Univariate and multivariate methods were used to analyze data. Out of a total of 100 consecutive patients, 53 were women, the median of age was 49 years (IQR: 37.8-55.3), the median of post-COVID time after the first symptoms was 219 days (IQR: 143-258), and 65 patients were hospitalized during acute COVID-19. Musculoskeletal, digestive (i.e., diarrhea) and neurological symptoms including depression (by Zung scale) were the most frequent observed in PCS patients. A previous hospitalization was not associated with PCS manifestation. Arthralgia and diarrhea persisted in more than 40% of PCS patients. The median of anti-SARS-CoV-2 antibodies was 866.2 U/mL (IQR: 238.2-1681). Despite this variability, 98 patients were seropositive. Based on autonomic symptoms (by COMPASS 31) two clusters were obtained with different clinical characteristics. Levels of anti-SARS-CoV-2 antibodies were not different between clusters. A total of 40 articles (11,196 patients) were included in the meta-analysis. Fatigue/muscle weakness, dyspnea, pain and discomfort, anxiety/depression and impaired concentration were presented in more than 20% of patients reported. In conclusion, PCS is mainly characterized by musculoskeletal, pulmonary, digestive and neurological involvement including depression. PCS is independent of severity of acute illness and humoral response. Long-term antibody responses to SARS-CoV-2 infection and a high inter-individual variability were confirmed. Future studies should evaluate the mechanisms by which SARS-CoV-2 may cause PCS and the best therapeutic options.","author":[{"dropping-particle":"","family":"Anaya","given":"Juan-Manuel","non-dropping-particle":"","parse-names":false,"suffix":""},{"dropping-particle":"","family":"Rojas","given":"Manuel","non-dropping-particle":"","parse-names":false,"suffix":""},{"dropping-particle":"","family":"Salinas","given":"Martha L","non-dropping-particle":"","parse-names":false,"suffix":""},{"dropping-particle":"","family":"Rodríguez","given":"Yhojan","non-dropping-particle":"","parse-names":false,"suffix":""},{"dropping-particle":"","family":"Roa","given":"Geraldine","non-dropping-particle":"","parse-names":false,"suffix":""},{"dropping-particle":"","family":"Lozano","given":"Marcela","non-dropping-particle":"","parse-names":false,"suffix":""},{"dropping-particle":"","family":"Rodríguez-Jiménez","given":"Mónica","non-dropping-particle":"","parse-names":false,"suffix":""},{"dropping-particle":"","family":"Montoya","given":"Norma","non-dropping-particle":"","parse-names":false,"suffix":""},{"dropping-particle":"","family":"Zapata","given":"Elizabeth","non-dropping-particle":"","parse-names":false,"suffix":""},{"dropping-particle":"","family":"Monsalve","given":"Diana M","non-dropping-particle":"","parse-names":false,"suffix":""},{"dropping-particle":"","family":"Acosta-Ampudia","given":"Yeny","non-dropping-particle":"","parse-names":false,"suffix":""},{"dropping-particle":"","family":"Ramírez-Santana","given":"Carolina","non-dropping-particle":"","parse-names":false,"suffix":""}],"container-title":"Autoimmunity reviews","id":"ITEM-1","issue":"11","issued":{"date-parts":[["2021","11"]]},"language":"eng","page":"102947","title":"Post-COVID syndrome. A case series and comprehensive review.","type":"article-journal","volume":"20"},"uris":["http://www.mendeley.com/documents/?uuid=c778c63c-3340-4699-bb3c-0f4701855713","http://www.mendeley.com/documents/?uuid=755cba41-c01f-477c-8d11-fefbe3f7dc15","http://www.mendeley.com/documents/?uuid=d91638fa-1688-4470-810e-26ac25d61c54","http://www.mendeley.com/documents/?uuid=87608808-4683-4dce-8cba-5aebf177ce50"]}],"mendeley":{"formattedCitation":"[7]","plainTextFormattedCitation":"[7]","previouslyFormattedCitation":"[12]"},"properties":{"noteIndex":0},"schema":"https://github.com/citation-style-language/schema/raw/master/csl-citation.json"}</w:instrText>
      </w:r>
      <w:r>
        <w:rPr>
          <w:rFonts w:ascii="Arial" w:eastAsia="Arial" w:hAnsi="Arial" w:cs="Arial"/>
          <w:color w:val="000000" w:themeColor="text1"/>
          <w:lang w:eastAsia="en-US"/>
        </w:rPr>
        <w:fldChar w:fldCharType="separate"/>
      </w:r>
      <w:r w:rsidRPr="0028617E">
        <w:rPr>
          <w:rFonts w:ascii="Arial" w:eastAsia="Arial" w:hAnsi="Arial" w:cs="Arial"/>
          <w:noProof/>
          <w:color w:val="000000" w:themeColor="text1"/>
          <w:lang w:eastAsia="en-US"/>
        </w:rPr>
        <w:t>[7]</w:t>
      </w:r>
      <w:r>
        <w:rPr>
          <w:rFonts w:ascii="Arial" w:eastAsia="Arial" w:hAnsi="Arial" w:cs="Arial"/>
          <w:color w:val="000000" w:themeColor="text1"/>
          <w:lang w:eastAsia="en-US"/>
        </w:rPr>
        <w:fldChar w:fldCharType="end"/>
      </w:r>
      <w:r w:rsidRPr="00265F44">
        <w:rPr>
          <w:rFonts w:ascii="Arial" w:eastAsia="Arial" w:hAnsi="Arial" w:cs="Arial"/>
          <w:color w:val="000000" w:themeColor="text1"/>
          <w:lang w:eastAsia="en-US"/>
        </w:rPr>
        <w:t xml:space="preserve">, were </w:t>
      </w:r>
      <w:r>
        <w:rPr>
          <w:rFonts w:ascii="Arial" w:eastAsia="Arial" w:hAnsi="Arial" w:cs="Arial"/>
          <w:color w:val="000000" w:themeColor="text1"/>
          <w:lang w:eastAsia="en-US"/>
        </w:rPr>
        <w:t>evaluated for IgG and IgM antibodies against self-antigens,</w:t>
      </w:r>
      <w:r w:rsidRPr="00F87164">
        <w:rPr>
          <w:rFonts w:ascii="Arial" w:eastAsia="Arial" w:hAnsi="Arial" w:cs="Arial"/>
          <w:color w:val="000000" w:themeColor="text1"/>
          <w:lang w:eastAsia="en-US"/>
        </w:rPr>
        <w:t>SARS-CoV-2</w:t>
      </w:r>
      <w:r>
        <w:rPr>
          <w:rFonts w:ascii="Arial" w:eastAsia="Arial" w:hAnsi="Arial" w:cs="Arial"/>
          <w:color w:val="000000" w:themeColor="text1"/>
          <w:lang w:eastAsia="en-US"/>
        </w:rPr>
        <w:t xml:space="preserve"> antigens, and other common infectious viral antigens</w:t>
      </w:r>
      <w:r w:rsidRPr="00F87164">
        <w:rPr>
          <w:rFonts w:ascii="Arial" w:eastAsia="Arial" w:hAnsi="Arial" w:cs="Arial"/>
          <w:color w:val="000000" w:themeColor="text1"/>
          <w:lang w:eastAsia="en-US"/>
        </w:rPr>
        <w:t xml:space="preserve"> </w:t>
      </w:r>
      <w:r>
        <w:rPr>
          <w:rFonts w:ascii="Arial" w:eastAsia="Arial" w:hAnsi="Arial" w:cs="Arial"/>
          <w:color w:val="000000" w:themeColor="text1"/>
          <w:lang w:eastAsia="en-US"/>
        </w:rPr>
        <w:t xml:space="preserve">by proteomic </w:t>
      </w:r>
      <w:r w:rsidRPr="000A7FDC">
        <w:rPr>
          <w:rFonts w:ascii="Arial" w:hAnsi="Arial" w:cs="Arial"/>
        </w:rPr>
        <w:t>microarray technology</w:t>
      </w:r>
      <w:r>
        <w:rPr>
          <w:rFonts w:ascii="Arial" w:hAnsi="Arial" w:cs="Arial"/>
        </w:rPr>
        <w:t xml:space="preserve"> </w:t>
      </w:r>
      <w:r>
        <w:rPr>
          <w:rFonts w:ascii="Arial" w:eastAsia="Arial" w:hAnsi="Arial" w:cs="Arial"/>
        </w:rPr>
        <w:fldChar w:fldCharType="begin" w:fldLock="1"/>
      </w:r>
      <w:r>
        <w:rPr>
          <w:rFonts w:ascii="Arial" w:eastAsia="Arial" w:hAnsi="Arial" w:cs="Arial"/>
        </w:rPr>
        <w:instrText>ADDIN CSL_CITATION {"citationItems":[{"id":"ITEM-1","itemData":{"DOI":"10.1016/j.jaut.2021.102780","ISSN":"1095-9157 (Electronic)","PMID":"34923432","abstract":"OBJECTIVE: The clinical coexistence of two or more autoimmune diseases (ADs)  fulfilling classification criteria is termed \"overt polyautoimmunity\" (PolyA), whereas the presence of autoantibodies unrelated to an index AD, without clinical criteria fulfillment, is known as \"latent PolyA\". We aimed to explore a new taxonomy of ADs based on PolyA. METHODS: In a cross-sectional study of 292 subjects, we evaluated the presence of PolyA in 146, 45, 29, 17, and 17 patients with rheumatoid arthritis (RA), systemic lupus erythematosus (SLE), Sjögren's syndrome (SS), autoimmune thyroid disease (AITD) and systemic sclerosis (SSc), respectively, and 38 healthy controls. Clinical assessment, autoantibody profile (by autoantigen array chip), lymphocytes immunophenotype and cytokine profile (by flow cytometry) were evaluated simultaneously. A mixed cluster methodology was used to classify ADs. RESULTS: Latent PolyA was more frequent than overt PolyA, ranging from 69.9% in RA to 100% in SSc. Nevertheless, both latent and overt PolyA clustered together. Over-expressed IgG autoantibodies were found to be hallmarks for the identification of index ADs. The combination of autoantibodies allowed high accuracy in the classification of ADs. Three well-defined clusters based on PolyA were observed with distinctive clinical and immunological phenotypes. CONCLUSIONS: This proof-of-concept study indicates that ADs can be classified according to PolyA. PolyA should be considered in all studies dealing with ADs, including epidemiological, genetic, and clinical trials.","author":[{"dropping-particle":"","family":"Rojas","given":"Manuel","non-dropping-particle":"","parse-names":false,"suffix":""},{"dropping-particle":"","family":"Ramírez-Santana","given":"Carolina","non-dropping-particle":"","parse-names":false,"suffix":""},{"dropping-particle":"","family":"Acosta-Ampudia","given":"Yeny","non-dropping-particle":"","parse-names":false,"suffix":""},{"dropping-particle":"","family":"Monsalve","given":"Diana M","non-dropping-particle":"","parse-names":false,"suffix":""},{"dropping-particle":"","family":"Rodriguez-Jimenez","given":"Mónica","non-dropping-particle":"","parse-names":false,"suffix":""},{"dropping-particle":"","family":"Zapata","given":"Elizabeth","non-dropping-particle":"","parse-names":false,"suffix":""},{"dropping-particle":"","family":"Naranjo-Pulido","given":"Angie","non-dropping-particle":"","parse-names":false,"suffix":""},{"dropping-particle":"","family":"Suárez-Avellaneda","given":"Ana","non-dropping-particle":"","parse-names":false,"suffix":""},{"dropping-particle":"","family":"Ríos-Serna","given":"Lady J","non-dropping-particle":"","parse-names":false,"suffix":""},{"dropping-particle":"","family":"Prieto","given":"Carolina","non-dropping-particle":"","parse-names":false,"suffix":""},{"dropping-particle":"","family":"Zambrano-Romero","given":"William","non-dropping-particle":"","parse-names":false,"suffix":""},{"dropping-particle":"","family":"Valero","given":"María Alejandra","non-dropping-particle":"","parse-names":false,"suffix":""},{"dropping-particle":"","family":"Rodríguez","given":"Yhojan","non-dropping-particle":"","parse-names":false,"suffix":""},{"dropping-particle":"","family":"Mantilla","given":"Rubén D","non-dropping-particle":"","parse-names":false,"suffix":""},{"dropping-particle":"","family":"Zhu","given":"Chengsong","non-dropping-particle":"","parse-names":false,"suffix":""},{"dropping-particle":"","family":"Li","given":"Quan-Zhen","non-dropping-particle":"","parse-names":false,"suffix":""},{"dropping-particle":"","family":"Toro-Gutiérrez","given":"Carlos Enrique","non-dropping-particle":"","parse-names":false,"suffix":""},{"dropping-particle":"","family":"Tobón","given":"Gabriel J","non-dropping-particle":"","parse-names":false,"suffix":""},{"dropping-particle":"","family":"Anaya","given":"Juan-Manuel","non-dropping-particle":"","parse-names":false,"suffix":""}],"container-title":"Journal of autoimmunity","id":"ITEM-1","issued":{"date-parts":[["2021","12"]]},"language":"eng","page":"102780","publisher-place":"England","title":"New insights into the taxonomy of autoimmune diseases based on polyautoimmunity.","type":"article-journal","volume":"126"},"uris":["http://www.mendeley.com/documents/?uuid=7630aafe-6a3a-44f0-b50f-ffc0a934aafe","http://www.mendeley.com/documents/?uuid=8e1d5322-3537-41e0-98c5-e8a925e17d37","http://www.mendeley.com/documents/?uuid=73f2743a-f302-4710-9c4d-9007e25ecc48","http://www.mendeley.com/documents/?uuid=ff08fc5b-3786-4ac1-8a8b-e508ddcb9a42"]}],"mendeley":{"formattedCitation":"[6]","plainTextFormattedCitation":"[6]","previouslyFormattedCitation":"[11]"},"properties":{"noteIndex":0},"schema":"https://github.com/citation-style-language/schema/raw/master/csl-citation.json"}</w:instrText>
      </w:r>
      <w:r>
        <w:rPr>
          <w:rFonts w:ascii="Arial" w:eastAsia="Arial" w:hAnsi="Arial" w:cs="Arial"/>
        </w:rPr>
        <w:fldChar w:fldCharType="separate"/>
      </w:r>
      <w:r w:rsidRPr="0028617E">
        <w:rPr>
          <w:rFonts w:ascii="Arial" w:eastAsia="Arial" w:hAnsi="Arial" w:cs="Arial"/>
          <w:noProof/>
        </w:rPr>
        <w:t>[6]</w:t>
      </w:r>
      <w:r>
        <w:rPr>
          <w:rFonts w:ascii="Arial" w:eastAsia="Arial" w:hAnsi="Arial" w:cs="Arial"/>
        </w:rPr>
        <w:fldChar w:fldCharType="end"/>
      </w:r>
      <w:r w:rsidRPr="000701F8">
        <w:rPr>
          <w:rFonts w:ascii="Arial" w:eastAsia="Arial" w:hAnsi="Arial" w:cs="Arial"/>
          <w:color w:val="000000" w:themeColor="text1"/>
          <w:lang w:eastAsia="en-US"/>
        </w:rPr>
        <w:t xml:space="preserve">. </w:t>
      </w:r>
      <w:r w:rsidRPr="00E049B0">
        <w:rPr>
          <w:rFonts w:ascii="Arial" w:eastAsia="Arial" w:hAnsi="Arial" w:cs="Arial"/>
          <w:color w:val="000000" w:themeColor="text1"/>
          <w:lang w:eastAsia="en-US"/>
        </w:rPr>
        <w:t xml:space="preserve">A serum sample of thirty healthy pre-pandemic individuals was used as a control group for autoimmune </w:t>
      </w:r>
      <w:r>
        <w:rPr>
          <w:rFonts w:ascii="Arial" w:eastAsia="Arial" w:hAnsi="Arial" w:cs="Arial"/>
          <w:color w:val="000000" w:themeColor="text1"/>
          <w:lang w:eastAsia="en-US"/>
        </w:rPr>
        <w:t xml:space="preserve">evaluation. </w:t>
      </w:r>
      <w:r w:rsidRPr="00265F44">
        <w:rPr>
          <w:rFonts w:ascii="Arial" w:eastAsia="Arial" w:hAnsi="Arial" w:cs="Arial"/>
        </w:rPr>
        <w:t xml:space="preserve">This study was done in compliance with Act 008430/1993 of the Ministry of Health of the Republic of Colombia, which classified it as minimal-risk research. All the patients were asked for their consent and were informed about the Colombian data protection law (1581 of 2012). The institutional review board of the </w:t>
      </w:r>
      <w:r>
        <w:rPr>
          <w:rFonts w:ascii="Arial" w:eastAsia="Arial" w:hAnsi="Arial" w:cs="Arial"/>
        </w:rPr>
        <w:t>Universidad CES</w:t>
      </w:r>
      <w:r w:rsidRPr="00265F44">
        <w:rPr>
          <w:rFonts w:ascii="Arial" w:eastAsia="Arial" w:hAnsi="Arial" w:cs="Arial"/>
        </w:rPr>
        <w:t xml:space="preserve"> approved the study design.</w:t>
      </w:r>
    </w:p>
    <w:p w14:paraId="41F9A233" w14:textId="77777777" w:rsidR="00476487" w:rsidRDefault="00476487" w:rsidP="00476487">
      <w:pPr>
        <w:spacing w:line="480" w:lineRule="auto"/>
        <w:jc w:val="both"/>
        <w:outlineLvl w:val="0"/>
        <w:rPr>
          <w:rFonts w:ascii="Arial" w:eastAsia="Arial" w:hAnsi="Arial" w:cs="Arial"/>
          <w:b/>
          <w:bCs/>
          <w:i/>
          <w:iCs/>
          <w:color w:val="000000" w:themeColor="text1"/>
        </w:rPr>
      </w:pPr>
    </w:p>
    <w:p w14:paraId="35D13538" w14:textId="40777614" w:rsidR="00476487" w:rsidRPr="00265F44" w:rsidRDefault="00476487" w:rsidP="00476487">
      <w:pPr>
        <w:spacing w:line="480" w:lineRule="auto"/>
        <w:jc w:val="both"/>
        <w:outlineLvl w:val="0"/>
        <w:rPr>
          <w:rFonts w:ascii="Arial" w:eastAsia="Arial" w:hAnsi="Arial" w:cs="Arial"/>
          <w:b/>
          <w:bCs/>
          <w:i/>
          <w:iCs/>
          <w:color w:val="000000" w:themeColor="text1"/>
        </w:rPr>
      </w:pPr>
      <w:r>
        <w:rPr>
          <w:rFonts w:ascii="Arial" w:eastAsia="Arial" w:hAnsi="Arial" w:cs="Arial"/>
          <w:b/>
          <w:bCs/>
          <w:i/>
          <w:iCs/>
          <w:color w:val="000000" w:themeColor="text1"/>
        </w:rPr>
        <w:t>Antibody profiling</w:t>
      </w:r>
    </w:p>
    <w:p w14:paraId="35F3651C" w14:textId="77777777" w:rsidR="00476487" w:rsidRDefault="00476487" w:rsidP="00476487">
      <w:pPr>
        <w:spacing w:line="480" w:lineRule="auto"/>
        <w:jc w:val="both"/>
        <w:rPr>
          <w:rFonts w:ascii="Arial" w:eastAsia="Times New Roman" w:hAnsi="Arial" w:cs="Arial"/>
          <w:lang w:eastAsia="en-US"/>
        </w:rPr>
      </w:pPr>
      <w:r w:rsidRPr="00127E16">
        <w:rPr>
          <w:rFonts w:ascii="Arial" w:eastAsia="Times New Roman" w:hAnsi="Arial" w:cs="Arial"/>
          <w:lang w:eastAsia="en-US"/>
        </w:rPr>
        <w:t>Serum IgG</w:t>
      </w:r>
      <w:r>
        <w:rPr>
          <w:rFonts w:ascii="Arial" w:eastAsia="Times New Roman" w:hAnsi="Arial" w:cs="Arial"/>
          <w:lang w:eastAsia="en-US"/>
        </w:rPr>
        <w:t xml:space="preserve"> and IgM</w:t>
      </w:r>
      <w:r w:rsidRPr="00127E16">
        <w:rPr>
          <w:rFonts w:ascii="Arial" w:eastAsia="Times New Roman" w:hAnsi="Arial" w:cs="Arial"/>
          <w:lang w:eastAsia="en-US"/>
        </w:rPr>
        <w:t xml:space="preserve"> antibody reactivities against </w:t>
      </w:r>
      <w:r>
        <w:rPr>
          <w:rFonts w:ascii="Arial" w:eastAsia="Times New Roman" w:hAnsi="Arial" w:cs="Arial"/>
          <w:lang w:eastAsia="en-US"/>
        </w:rPr>
        <w:t xml:space="preserve">self-antigens and </w:t>
      </w:r>
      <w:r w:rsidRPr="00127E16">
        <w:rPr>
          <w:rFonts w:ascii="Arial" w:eastAsia="Times New Roman" w:hAnsi="Arial" w:cs="Arial"/>
          <w:lang w:eastAsia="en-US"/>
        </w:rPr>
        <w:t>SARS-Co</w:t>
      </w:r>
      <w:r>
        <w:rPr>
          <w:rFonts w:ascii="Arial" w:eastAsia="Times New Roman" w:hAnsi="Arial" w:cs="Arial"/>
          <w:lang w:eastAsia="en-US"/>
        </w:rPr>
        <w:t>V</w:t>
      </w:r>
      <w:r w:rsidRPr="00127E16">
        <w:rPr>
          <w:rFonts w:ascii="Arial" w:eastAsia="Times New Roman" w:hAnsi="Arial" w:cs="Arial"/>
          <w:lang w:eastAsia="en-US"/>
        </w:rPr>
        <w:t xml:space="preserve">-2 antigens was assessed with a microfluidic antigen array comprising </w:t>
      </w:r>
      <w:r>
        <w:rPr>
          <w:rFonts w:ascii="Arial" w:eastAsia="Times New Roman" w:hAnsi="Arial" w:cs="Arial"/>
          <w:lang w:eastAsia="en-US"/>
        </w:rPr>
        <w:t xml:space="preserve">102 autoantigens and 16 </w:t>
      </w:r>
      <w:r w:rsidRPr="00127E16">
        <w:rPr>
          <w:rFonts w:ascii="Arial" w:eastAsia="Times New Roman" w:hAnsi="Arial" w:cs="Arial"/>
          <w:lang w:eastAsia="en-US"/>
        </w:rPr>
        <w:t xml:space="preserve">antigens from diverse Coronaviruses, including those from SARS-CoV-2. This customized antigen panel is available from the Microarray </w:t>
      </w:r>
      <w:r>
        <w:rPr>
          <w:rFonts w:ascii="Arial" w:eastAsia="Times New Roman" w:hAnsi="Arial" w:cs="Arial"/>
          <w:lang w:eastAsia="en-US"/>
        </w:rPr>
        <w:t xml:space="preserve">and Immune Phenotyping </w:t>
      </w:r>
      <w:r w:rsidRPr="00127E16">
        <w:rPr>
          <w:rFonts w:ascii="Arial" w:eastAsia="Times New Roman" w:hAnsi="Arial" w:cs="Arial"/>
          <w:lang w:eastAsia="en-US"/>
        </w:rPr>
        <w:t xml:space="preserve">Core Facility at The University of Texas Southwestern Medical Center. The various antigens are printed in </w:t>
      </w:r>
      <w:r>
        <w:rPr>
          <w:rFonts w:ascii="Arial" w:eastAsia="Times New Roman" w:hAnsi="Arial" w:cs="Arial"/>
          <w:lang w:eastAsia="en-US"/>
        </w:rPr>
        <w:t>duplicates</w:t>
      </w:r>
      <w:r w:rsidRPr="00127E16">
        <w:rPr>
          <w:rFonts w:ascii="Arial" w:eastAsia="Times New Roman" w:hAnsi="Arial" w:cs="Arial"/>
          <w:lang w:eastAsia="en-US"/>
        </w:rPr>
        <w:t xml:space="preserve"> on a nitrocellulose membrane-coated slide with 16 identical sub-arrays, allowing comparisons of 15 different serum samples along with a PBS control. The antigen arrays were performed as previously described</w:t>
      </w:r>
      <w:r>
        <w:rPr>
          <w:rFonts w:ascii="Arial" w:eastAsia="Times New Roman" w:hAnsi="Arial" w:cs="Arial"/>
          <w:lang w:eastAsia="en-US"/>
        </w:rPr>
        <w:t xml:space="preserve"> </w:t>
      </w:r>
      <w:r>
        <w:rPr>
          <w:rFonts w:ascii="Arial" w:eastAsia="Arial" w:hAnsi="Arial" w:cs="Arial"/>
        </w:rPr>
        <w:fldChar w:fldCharType="begin" w:fldLock="1"/>
      </w:r>
      <w:r>
        <w:rPr>
          <w:rFonts w:ascii="Arial" w:eastAsia="Arial" w:hAnsi="Arial" w:cs="Arial"/>
        </w:rPr>
        <w:instrText>ADDIN CSL_CITATION {"citationItems":[{"id":"ITEM-1","itemData":{"DOI":"10.1016/j.jaut.2021.102780","ISSN":"1095-9157 (Electronic)","PMID":"34923432","abstract":"OBJECTIVE: The clinical coexistence of two or more autoimmune diseases (ADs)  fulfilling classification criteria is termed \"overt polyautoimmunity\" (PolyA), whereas the presence of autoantibodies unrelated to an index AD, without clinical criteria fulfillment, is known as \"latent PolyA\". We aimed to explore a new taxonomy of ADs based on PolyA. METHODS: In a cross-sectional study of 292 subjects, we evaluated the presence of PolyA in 146, 45, 29, 17, and 17 patients with rheumatoid arthritis (RA), systemic lupus erythematosus (SLE), Sjögren's syndrome (SS), autoimmune thyroid disease (AITD) and systemic sclerosis (SSc), respectively, and 38 healthy controls. Clinical assessment, autoantibody profile (by autoantigen array chip), lymphocytes immunophenotype and cytokine profile (by flow cytometry) were evaluated simultaneously. A mixed cluster methodology was used to classify ADs. RESULTS: Latent PolyA was more frequent than overt PolyA, ranging from 69.9% in RA to 100% in SSc. Nevertheless, both latent and overt PolyA clustered together. Over-expressed IgG autoantibodies were found to be hallmarks for the identification of index ADs. The combination of autoantibodies allowed high accuracy in the classification of ADs. Three well-defined clusters based on PolyA were observed with distinctive clinical and immunological phenotypes. CONCLUSIONS: This proof-of-concept study indicates that ADs can be classified according to PolyA. PolyA should be considered in all studies dealing with ADs, including epidemiological, genetic, and clinical trials.","author":[{"dropping-particle":"","family":"Rojas","given":"Manuel","non-dropping-particle":"","parse-names":false,"suffix":""},{"dropping-particle":"","family":"Ramírez-Santana","given":"Carolina","non-dropping-particle":"","parse-names":false,"suffix":""},{"dropping-particle":"","family":"Acosta-Ampudia","given":"Yeny","non-dropping-particle":"","parse-names":false,"suffix":""},{"dropping-particle":"","family":"Monsalve","given":"Diana M","non-dropping-particle":"","parse-names":false,"suffix":""},{"dropping-particle":"","family":"Rodriguez-Jimenez","given":"Mónica","non-dropping-particle":"","parse-names":false,"suffix":""},{"dropping-particle":"","family":"Zapata","given":"Elizabeth","non-dropping-particle":"","parse-names":false,"suffix":""},{"dropping-particle":"","family":"Naranjo-Pulido","given":"Angie","non-dropping-particle":"","parse-names":false,"suffix":""},{"dropping-particle":"","family":"Suárez-Avellaneda","given":"Ana","non-dropping-particle":"","parse-names":false,"suffix":""},{"dropping-particle":"","family":"Ríos-Serna","given":"Lady J","non-dropping-particle":"","parse-names":false,"suffix":""},{"dropping-particle":"","family":"Prieto","given":"Carolina","non-dropping-particle":"","parse-names":false,"suffix":""},{"dropping-particle":"","family":"Zambrano-Romero","given":"William","non-dropping-particle":"","parse-names":false,"suffix":""},{"dropping-particle":"","family":"Valero","given":"María Alejandra","non-dropping-particle":"","parse-names":false,"suffix":""},{"dropping-particle":"","family":"Rodríguez","given":"Yhojan","non-dropping-particle":"","parse-names":false,"suffix":""},{"dropping-particle":"","family":"Mantilla","given":"Rubén D","non-dropping-particle":"","parse-names":false,"suffix":""},{"dropping-particle":"","family":"Zhu","given":"Chengsong","non-dropping-particle":"","parse-names":false,"suffix":""},{"dropping-particle":"","family":"Li","given":"Quan-Zhen","non-dropping-particle":"","parse-names":false,"suffix":""},{"dropping-particle":"","family":"Toro-Gutiérrez","given":"Carlos Enrique","non-dropping-particle":"","parse-names":false,"suffix":""},{"dropping-particle":"","family":"Tobón","given":"Gabriel J","non-dropping-particle":"","parse-names":false,"suffix":""},{"dropping-particle":"","family":"Anaya","given":"Juan-Manuel","non-dropping-particle":"","parse-names":false,"suffix":""}],"container-title":"Journal of autoimmunity","id":"ITEM-1","issued":{"date-parts":[["2021","12"]]},"language":"eng","page":"102780","publisher-place":"England","title":"New insights into the taxonomy of autoimmune diseases based on polyautoimmunity.","type":"article-journal","volume":"126"},"uris":["http://www.mendeley.com/documents/?uuid=7630aafe-6a3a-44f0-b50f-ffc0a934aafe","http://www.mendeley.com/documents/?uuid=8e1d5322-3537-41e0-98c5-e8a925e17d37","http://www.mendeley.com/documents/?uuid=ff08fc5b-3786-4ac1-8a8b-e508ddcb9a42","http://www.mendeley.com/documents/?uuid=73f2743a-f302-4710-9c4d-9007e25ecc48"]}],"mendeley":{"formattedCitation":"[6]","plainTextFormattedCitation":"[6]","previouslyFormattedCitation":"[11]"},"properties":{"noteIndex":0},"schema":"https://github.com/citation-style-language/schema/raw/master/csl-citation.json"}</w:instrText>
      </w:r>
      <w:r>
        <w:rPr>
          <w:rFonts w:ascii="Arial" w:eastAsia="Arial" w:hAnsi="Arial" w:cs="Arial"/>
        </w:rPr>
        <w:fldChar w:fldCharType="separate"/>
      </w:r>
      <w:r w:rsidRPr="0028617E">
        <w:rPr>
          <w:rFonts w:ascii="Arial" w:eastAsia="Arial" w:hAnsi="Arial" w:cs="Arial"/>
          <w:noProof/>
        </w:rPr>
        <w:t>[6]</w:t>
      </w:r>
      <w:r>
        <w:rPr>
          <w:rFonts w:ascii="Arial" w:eastAsia="Arial" w:hAnsi="Arial" w:cs="Arial"/>
        </w:rPr>
        <w:fldChar w:fldCharType="end"/>
      </w:r>
      <w:r w:rsidRPr="00127E16">
        <w:rPr>
          <w:rFonts w:ascii="Arial" w:eastAsia="Times New Roman" w:hAnsi="Arial" w:cs="Arial"/>
          <w:lang w:eastAsia="en-US"/>
        </w:rPr>
        <w:t xml:space="preserve">. In brief, serum samples were first heat-inactivated (56 °C 30 min) and </w:t>
      </w:r>
      <w:r>
        <w:rPr>
          <w:rFonts w:ascii="Arial" w:eastAsia="Times New Roman" w:hAnsi="Arial" w:cs="Arial"/>
          <w:lang w:eastAsia="en-US"/>
        </w:rPr>
        <w:t>pre-treated with DNAse I. Then the</w:t>
      </w:r>
      <w:r w:rsidRPr="00127E16">
        <w:rPr>
          <w:rFonts w:ascii="Arial" w:eastAsia="Times New Roman" w:hAnsi="Arial" w:cs="Arial"/>
          <w:lang w:eastAsia="en-US"/>
        </w:rPr>
        <w:t xml:space="preserve"> sample</w:t>
      </w:r>
      <w:r>
        <w:rPr>
          <w:rFonts w:ascii="Arial" w:eastAsia="Times New Roman" w:hAnsi="Arial" w:cs="Arial"/>
          <w:lang w:eastAsia="en-US"/>
        </w:rPr>
        <w:t>s</w:t>
      </w:r>
      <w:r w:rsidRPr="00127E16">
        <w:rPr>
          <w:rFonts w:ascii="Arial" w:eastAsia="Times New Roman" w:hAnsi="Arial" w:cs="Arial"/>
          <w:lang w:eastAsia="en-US"/>
        </w:rPr>
        <w:t xml:space="preserve"> w</w:t>
      </w:r>
      <w:r>
        <w:rPr>
          <w:rFonts w:ascii="Arial" w:eastAsia="Times New Roman" w:hAnsi="Arial" w:cs="Arial"/>
          <w:lang w:eastAsia="en-US"/>
        </w:rPr>
        <w:t>ere</w:t>
      </w:r>
      <w:r w:rsidRPr="00127E16">
        <w:rPr>
          <w:rFonts w:ascii="Arial" w:eastAsia="Times New Roman" w:hAnsi="Arial" w:cs="Arial"/>
          <w:lang w:eastAsia="en-US"/>
        </w:rPr>
        <w:t xml:space="preserve"> diluted 1:</w:t>
      </w:r>
      <w:r>
        <w:rPr>
          <w:rFonts w:ascii="Arial" w:eastAsia="Times New Roman" w:hAnsi="Arial" w:cs="Arial"/>
          <w:lang w:eastAsia="en-US"/>
        </w:rPr>
        <w:t>100</w:t>
      </w:r>
      <w:r w:rsidRPr="00127E16">
        <w:rPr>
          <w:rFonts w:ascii="Arial" w:eastAsia="Times New Roman" w:hAnsi="Arial" w:cs="Arial"/>
          <w:lang w:eastAsia="en-US"/>
        </w:rPr>
        <w:t xml:space="preserve"> in PBS </w:t>
      </w:r>
      <w:r>
        <w:rPr>
          <w:rFonts w:ascii="Arial" w:eastAsia="Times New Roman" w:hAnsi="Arial" w:cs="Arial"/>
          <w:lang w:eastAsia="en-US"/>
        </w:rPr>
        <w:t xml:space="preserve">and </w:t>
      </w:r>
      <w:r w:rsidRPr="00127E16">
        <w:rPr>
          <w:rFonts w:ascii="Arial" w:eastAsia="Times New Roman" w:hAnsi="Arial" w:cs="Arial"/>
          <w:lang w:eastAsia="en-US"/>
        </w:rPr>
        <w:t xml:space="preserve">applied to the </w:t>
      </w:r>
      <w:r>
        <w:rPr>
          <w:rFonts w:ascii="Arial" w:eastAsia="Times New Roman" w:hAnsi="Arial" w:cs="Arial"/>
          <w:lang w:eastAsia="en-US"/>
        </w:rPr>
        <w:t xml:space="preserve">arrays on the </w:t>
      </w:r>
      <w:r w:rsidRPr="00127E16">
        <w:rPr>
          <w:rFonts w:ascii="Arial" w:eastAsia="Times New Roman" w:hAnsi="Arial" w:cs="Arial"/>
          <w:lang w:eastAsia="en-US"/>
        </w:rPr>
        <w:t xml:space="preserve">slide </w:t>
      </w:r>
      <w:r>
        <w:rPr>
          <w:rFonts w:ascii="Arial" w:eastAsia="Times New Roman" w:hAnsi="Arial" w:cs="Arial"/>
          <w:lang w:eastAsia="en-US"/>
        </w:rPr>
        <w:t>for hybridization with the antigens.</w:t>
      </w:r>
      <w:r w:rsidRPr="00127E16">
        <w:rPr>
          <w:rFonts w:ascii="Arial" w:eastAsia="Times New Roman" w:hAnsi="Arial" w:cs="Arial"/>
          <w:lang w:eastAsia="en-US"/>
        </w:rPr>
        <w:t xml:space="preserve"> IgG </w:t>
      </w:r>
      <w:r>
        <w:rPr>
          <w:rFonts w:ascii="Arial" w:eastAsia="Times New Roman" w:hAnsi="Arial" w:cs="Arial"/>
          <w:lang w:eastAsia="en-US"/>
        </w:rPr>
        <w:t xml:space="preserve">and IgM </w:t>
      </w:r>
      <w:r w:rsidRPr="00127E16">
        <w:rPr>
          <w:rFonts w:ascii="Arial" w:eastAsia="Times New Roman" w:hAnsi="Arial" w:cs="Arial"/>
          <w:lang w:eastAsia="en-US"/>
        </w:rPr>
        <w:t>antibodies binding with antigens on the array was detected with Cy-3 conjugated anti-human IgG (1</w:t>
      </w:r>
      <w:r>
        <w:rPr>
          <w:rFonts w:ascii="Arial" w:eastAsia="Times New Roman" w:hAnsi="Arial" w:cs="Arial"/>
          <w:lang w:eastAsia="en-US"/>
        </w:rPr>
        <w:t>/</w:t>
      </w:r>
      <w:r w:rsidRPr="00127E16">
        <w:rPr>
          <w:rFonts w:ascii="Arial" w:eastAsia="Times New Roman" w:hAnsi="Arial" w:cs="Arial"/>
          <w:lang w:eastAsia="en-US"/>
        </w:rPr>
        <w:t xml:space="preserve">1000) </w:t>
      </w:r>
      <w:r>
        <w:rPr>
          <w:rFonts w:ascii="Arial" w:eastAsia="Times New Roman" w:hAnsi="Arial" w:cs="Arial"/>
          <w:lang w:eastAsia="en-US"/>
        </w:rPr>
        <w:t xml:space="preserve">and Cy5 conjugated IgM (1/1000) </w:t>
      </w:r>
      <w:r w:rsidRPr="00127E16">
        <w:rPr>
          <w:rFonts w:ascii="Arial" w:eastAsia="Times New Roman" w:hAnsi="Arial" w:cs="Arial"/>
          <w:lang w:eastAsia="en-US"/>
        </w:rPr>
        <w:t>secondary antibod</w:t>
      </w:r>
      <w:r>
        <w:rPr>
          <w:rFonts w:ascii="Arial" w:eastAsia="Times New Roman" w:hAnsi="Arial" w:cs="Arial"/>
          <w:lang w:eastAsia="en-US"/>
        </w:rPr>
        <w:t>ies</w:t>
      </w:r>
      <w:r w:rsidRPr="00127E16">
        <w:rPr>
          <w:rFonts w:ascii="Arial" w:eastAsia="Times New Roman" w:hAnsi="Arial" w:cs="Arial"/>
          <w:lang w:eastAsia="en-US"/>
        </w:rPr>
        <w:t xml:space="preserve"> (Jackson ImmunoResearch Laboratory). The slides were scanned with a GenePix 4400A scanner (Molecular Device)</w:t>
      </w:r>
      <w:r>
        <w:rPr>
          <w:rFonts w:ascii="Arial" w:eastAsia="Times New Roman" w:hAnsi="Arial" w:cs="Arial"/>
          <w:lang w:eastAsia="en-US"/>
        </w:rPr>
        <w:t xml:space="preserve"> with laser wavelength 532 (for IgG) and 635 (for IgM)</w:t>
      </w:r>
      <w:r w:rsidRPr="00127E16">
        <w:rPr>
          <w:rFonts w:ascii="Arial" w:eastAsia="Times New Roman" w:hAnsi="Arial" w:cs="Arial"/>
          <w:lang w:eastAsia="en-US"/>
        </w:rPr>
        <w:t>. Images in the array were c</w:t>
      </w:r>
      <w:r>
        <w:rPr>
          <w:rFonts w:ascii="Arial" w:eastAsia="Times New Roman" w:hAnsi="Arial" w:cs="Arial"/>
          <w:lang w:eastAsia="en-US"/>
        </w:rPr>
        <w:t>onverted to Genepix Report file</w:t>
      </w:r>
      <w:r w:rsidRPr="00127E16">
        <w:rPr>
          <w:rFonts w:ascii="Arial" w:eastAsia="Times New Roman" w:hAnsi="Arial" w:cs="Arial"/>
          <w:lang w:eastAsia="en-US"/>
        </w:rPr>
        <w:t xml:space="preserve"> </w:t>
      </w:r>
      <w:r>
        <w:rPr>
          <w:rFonts w:ascii="Arial" w:eastAsia="Times New Roman" w:hAnsi="Arial" w:cs="Arial"/>
          <w:lang w:eastAsia="en-US"/>
        </w:rPr>
        <w:t xml:space="preserve">(GPR) </w:t>
      </w:r>
      <w:r w:rsidRPr="00127E16">
        <w:rPr>
          <w:rFonts w:ascii="Arial" w:eastAsia="Times New Roman" w:hAnsi="Arial" w:cs="Arial"/>
          <w:lang w:eastAsia="en-US"/>
        </w:rPr>
        <w:t>with Genepix Pro7.0 software (Molecular Device). The averaged fluorescent signal intensity of each antigen was subtracted by local background</w:t>
      </w:r>
      <w:r>
        <w:rPr>
          <w:rFonts w:ascii="Arial" w:eastAsia="Times New Roman" w:hAnsi="Arial" w:cs="Arial"/>
          <w:lang w:eastAsia="en-US"/>
        </w:rPr>
        <w:t xml:space="preserve"> and</w:t>
      </w:r>
      <w:r w:rsidRPr="00127E16">
        <w:rPr>
          <w:rFonts w:ascii="Arial" w:eastAsia="Times New Roman" w:hAnsi="Arial" w:cs="Arial"/>
          <w:lang w:eastAsia="en-US"/>
        </w:rPr>
        <w:t xml:space="preserve"> the PBS control signal</w:t>
      </w:r>
      <w:r>
        <w:rPr>
          <w:rFonts w:ascii="Arial" w:eastAsia="Times New Roman" w:hAnsi="Arial" w:cs="Arial"/>
          <w:lang w:eastAsia="en-US"/>
        </w:rPr>
        <w:t xml:space="preserve"> and </w:t>
      </w:r>
      <w:r w:rsidRPr="00127E16">
        <w:rPr>
          <w:rFonts w:ascii="Arial" w:eastAsia="Times New Roman" w:hAnsi="Arial" w:cs="Arial"/>
          <w:lang w:eastAsia="en-US"/>
        </w:rPr>
        <w:t>normalized to internal controls to obtain the</w:t>
      </w:r>
      <w:r w:rsidRPr="00322020">
        <w:rPr>
          <w:rFonts w:ascii="Arial" w:hAnsi="Arial" w:cs="Arial"/>
        </w:rPr>
        <w:t xml:space="preserve"> </w:t>
      </w:r>
      <w:r>
        <w:rPr>
          <w:rFonts w:ascii="Arial" w:hAnsi="Arial" w:cs="Arial"/>
        </w:rPr>
        <w:t>n</w:t>
      </w:r>
      <w:r w:rsidRPr="00F129F9">
        <w:rPr>
          <w:rFonts w:ascii="Arial" w:hAnsi="Arial" w:cs="Arial"/>
        </w:rPr>
        <w:t xml:space="preserve">ormalized fluorescence intensity </w:t>
      </w:r>
      <w:r>
        <w:rPr>
          <w:rFonts w:ascii="Arial" w:eastAsia="Times New Roman" w:hAnsi="Arial" w:cs="Arial"/>
          <w:lang w:eastAsia="en-US"/>
        </w:rPr>
        <w:t>(</w:t>
      </w:r>
      <w:r w:rsidRPr="006F7582">
        <w:rPr>
          <w:rFonts w:ascii="Arial" w:hAnsi="Arial" w:cs="Arial"/>
        </w:rPr>
        <w:t>NFI</w:t>
      </w:r>
      <w:r>
        <w:rPr>
          <w:rFonts w:ascii="Arial" w:hAnsi="Arial" w:cs="Arial"/>
        </w:rPr>
        <w:t>)</w:t>
      </w:r>
      <w:r w:rsidRPr="00127E16">
        <w:rPr>
          <w:rFonts w:ascii="Arial" w:eastAsia="Times New Roman" w:hAnsi="Arial" w:cs="Arial"/>
          <w:lang w:eastAsia="en-US"/>
        </w:rPr>
        <w:t xml:space="preserve"> value.</w:t>
      </w:r>
    </w:p>
    <w:p w14:paraId="557AACC0" w14:textId="77777777" w:rsidR="00476487" w:rsidRPr="00265F44" w:rsidRDefault="00476487" w:rsidP="00476487">
      <w:pPr>
        <w:spacing w:line="480" w:lineRule="auto"/>
        <w:jc w:val="both"/>
        <w:rPr>
          <w:rFonts w:ascii="Arial" w:hAnsi="Arial" w:cs="Arial"/>
          <w:i/>
          <w:iCs/>
        </w:rPr>
      </w:pPr>
    </w:p>
    <w:p w14:paraId="5E4229D3" w14:textId="77777777" w:rsidR="00476487" w:rsidRDefault="00476487" w:rsidP="00476487">
      <w:pPr>
        <w:spacing w:line="480" w:lineRule="auto"/>
        <w:jc w:val="both"/>
        <w:outlineLvl w:val="0"/>
        <w:rPr>
          <w:rFonts w:ascii="Arial" w:eastAsia="Arial" w:hAnsi="Arial" w:cs="Arial"/>
          <w:b/>
          <w:bCs/>
          <w:i/>
          <w:iCs/>
          <w:color w:val="000000" w:themeColor="text1"/>
        </w:rPr>
      </w:pPr>
      <w:r w:rsidRPr="00265F44">
        <w:rPr>
          <w:rFonts w:ascii="Arial" w:eastAsia="Arial" w:hAnsi="Arial" w:cs="Arial"/>
          <w:b/>
          <w:bCs/>
          <w:i/>
          <w:iCs/>
          <w:color w:val="000000" w:themeColor="text1"/>
        </w:rPr>
        <w:t>Statistical analysis</w:t>
      </w:r>
    </w:p>
    <w:p w14:paraId="2B4B68F5" w14:textId="77777777" w:rsidR="00476487" w:rsidRDefault="00476487" w:rsidP="00476487">
      <w:pPr>
        <w:spacing w:line="480" w:lineRule="auto"/>
        <w:jc w:val="both"/>
        <w:rPr>
          <w:rFonts w:ascii="Arial" w:hAnsi="Arial" w:cs="Arial"/>
        </w:rPr>
      </w:pPr>
      <w:r w:rsidRPr="00265F44">
        <w:rPr>
          <w:rFonts w:ascii="Arial" w:eastAsia="Arial" w:hAnsi="Arial" w:cs="Arial"/>
          <w:color w:val="000000" w:themeColor="text1"/>
        </w:rPr>
        <w:t>Univariate descriptive statistics were performed. Categorical variables were analyzed using frequencies, and quantitative continuous variables were expressed in the median and interquartile range (IQR).</w:t>
      </w:r>
      <w:r>
        <w:rPr>
          <w:rFonts w:ascii="Arial" w:eastAsia="Arial" w:hAnsi="Arial" w:cs="Arial"/>
          <w:color w:val="000000" w:themeColor="text1"/>
        </w:rPr>
        <w:t xml:space="preserve"> </w:t>
      </w:r>
      <w:r>
        <w:rPr>
          <w:rFonts w:ascii="Arial" w:hAnsi="Arial" w:cs="Arial"/>
        </w:rPr>
        <w:t>D</w:t>
      </w:r>
      <w:r w:rsidRPr="00AE53BB">
        <w:rPr>
          <w:rFonts w:ascii="Arial" w:hAnsi="Arial" w:cs="Arial"/>
        </w:rPr>
        <w:t>ata from the autoantigen array was standardized by a</w:t>
      </w:r>
      <w:r w:rsidRPr="00B567CE">
        <w:rPr>
          <w:rFonts w:ascii="Arial" w:hAnsi="Arial" w:cs="Arial"/>
        </w:rPr>
        <w:t xml:space="preserve"> robust linear model as previously described </w:t>
      </w:r>
      <w:r w:rsidRPr="00B567CE">
        <w:rPr>
          <w:rFonts w:ascii="Arial" w:hAnsi="Arial" w:cs="Arial"/>
          <w:i/>
          <w:iCs/>
        </w:rPr>
        <w:fldChar w:fldCharType="begin" w:fldLock="1"/>
      </w:r>
      <w:r>
        <w:rPr>
          <w:rFonts w:ascii="Arial" w:hAnsi="Arial" w:cs="Arial"/>
          <w:i/>
          <w:iCs/>
        </w:rPr>
        <w:instrText>ADDIN CSL_CITATION {"citationItems":[{"id":"ITEM-1","itemData":{"DOI":"10.1016/j.gpb.2015.09.001","ISSN":"2210-3244","abstract":"Systemic lupus erythematosus (SLE) is a complex autoimmune disease characterized by the production of autoantibodies to a broad range of self-antigens. Profiling the autoantibody repertoire using array-based technology has emerged as a powerful tool for the identification of biomarkers in SLE and other autoimmune diseases. Proteomic microarray has the capacity to hold large number of self-antigens on a solid surface and serve as a high-throughput screening method for the determination of autoantibody specificities. The autoantigen arrays carrying a wide variety of self-antigens, such as cell nuclear components (nucleic acids and associated proteins), cytoplasmic proteins, phospholipid proteins, cell matrix proteins, mucosal/secreted proteins, glomeruli, and other tissue-specific proteins, have been used for screening of autoantibody specificities associated with different manifestations of SLE. Arrays containing synthetic peptides and molecular modified proteins are also being utilized for identification of autoantibodies targeting to special antigenic epitopes. Different isotypes of autoantibodies, including IgG, IgM, IgA, and IgE, as well as other Ig subtypes, can be detected simultaneously with multi-color labeled secondary antibodies. Serum and plasma are the most common biologic materials for autoantibody detection, but other body fluids such as cerebrospinal fluid, synovial fluid, and saliva can also be a source of autoantibody detection. Proteomic microarray as a multiplexed high-throughput screening platform is playing an increasingly-important role in autoantibody diagnostics. In this article, we highlight the use of autoantigen microarrays for autoantibody exploration in SLE.","author":[{"dropping-particle":"","family":"Zhu","given":"Honglin","non-dropping-particle":"","parse-names":false,"suffix":""},{"dropping-particle":"","family":"Luo","given":"Hui","non-dropping-particle":"","parse-names":false,"suffix":""},{"dropping-particle":"","family":"Yan","given":"Mei","non-dropping-particle":"","parse-names":false,"suffix":""},{"dropping-particle":"","family":"Zuo","given":"Xiaoxia","non-dropping-particle":"","parse-names":false,"suffix":""},{"dropping-particle":"","family":"Li","given":"Quan-Zhen","non-dropping-particle":"","parse-names":false,"suffix":""}],"container-title":"Genomics, proteomics &amp; bioinformatics","edition":"2015/09/28","id":"ITEM-1","issue":"4","issued":{"date-parts":[["2015","8"]]},"language":"eng","page":"210-218","publisher":"Elsevier","title":"Autoantigen Microarray for High-throughput Autoantibody Profiling in Systemic Lupus Erythematosus","type":"article-journal","volume":"13"},"uris":["http://www.mendeley.com/documents/?uuid=ccdf38b5-d9dc-4a39-8db1-ccb62bc473a2","http://www.mendeley.com/documents/?uuid=099ff7e7-14dc-4e49-850b-9e21ac7679d5"]},{"id":"ITEM-2","itemData":{"DOI":"10.1021/pr900412k","ISSN":"1535-3893","PMID":"19817483","abstract":"Protein microarrays are similar to DNA microarrays; both enabling the parallel interrogation of thousands of probes immobilized on a surface. Consequently, they have benefited from technologies previously developed for DNA microarrays. However, assumptions for the analysis of DNA microarrays do not always translate to protein arrays, especially in the case of normalization. Hence, we have developed an experimental and computational framework to assess normalization procedures for protein microarrays. Specifically, we profiled two sera with markedly different autoantibody compositions. To analyze intra- and interarray variability, we compared a set of control proteins across subarrays and the corresponding spots across multiple arrays, respectively. To estimate the degree to which the normalization could help reveal true biological separability, we tested the difference in the signal between the sera relative to the variability within replicates. Next, by mixing the sera in different proportions (titrations), we correlated the reactivity of proteins with serum concentration. Finally, we analyzed the effect of normalization procedures on the list of reactive proteins. We compared global and quantile normalization, techniques that have traditionally been employed for DNA microarrays, with a novel normalization approach based on a robust linear model (RLM) making explicit use of control proteins. We show that RLM normalization is able to reduce both intra- and interarray technical variability while maintaining biological differences. Moreover, in titration experiments, RLM normalization enhances the correlation of protein signals with serum concentration. Conversely, while quantile and global normalization can reduce interarray technical variability, neither is as effective as RLM normalization in maintaining biological differences. Most importantly, both introduce artifacts that distort the signals and affect the correct identification of reactive proteins, impairing their use for biomarker discovery. Hence, we show RLM normalization is better suited to protein arrays than approaches used for DNA microarrays.","author":[{"dropping-particle":"","family":"Sboner","given":"Andrea","non-dropping-particle":"","parse-names":false,"suffix":""},{"dropping-particle":"","family":"Karpikov","given":"Alexander","non-dropping-particle":"","parse-names":false,"suffix":""},{"dropping-particle":"","family":"Chen","given":"Gengxin","non-dropping-particle":"","parse-names":false,"suffix":""},{"dropping-particle":"","family":"Smith","given":"Michael","non-dropping-particle":"","parse-names":false,"suffix":""},{"dropping-particle":"","family":"Dawn","given":"Mattoon","non-dropping-particle":"","parse-names":false,"suffix":""},{"dropping-particle":"","family":"Freeman-Cook","given":"Lisa","non-dropping-particle":"","parse-names":false,"suffix":""},{"dropping-particle":"","family":"Schweitzer","given":"Barry","non-dropping-particle":"","parse-names":false,"suffix":""},{"dropping-particle":"","family":"Gerstein","given":"Mark B","non-dropping-particle":"","parse-names":false,"suffix":""}],"container-title":"Journal of Proteome Research","id":"ITEM-2","issue":"12","issued":{"date-parts":[["2009","12"]]},"language":"eng","page":"5451-5464","publisher-place":"United States","title":"Robust-Linear-Model Normalization To Reduce Technical Variability in Functional Protein Microarrays","type":"article-journal","volume":"8"},"uris":["http://www.mendeley.com/documents/?uuid=b18ab3a5-8385-49eb-a4d8-5ab096aca105","http://www.mendeley.com/documents/?uuid=895a932d-5a5a-46b6-89f5-f8808dec95be","http://www.mendeley.com/documents/?uuid=5fa8cbcb-5221-461f-99b6-5fb142332e13","http://www.mendeley.com/documents/?uuid=e80d7676-7768-4fdc-98b3-96f3d10aa9ce","http://www.mendeley.com/documents/?uuid=efb7e93e-d6da-4181-990b-dbef09a5de95","http://www.mendeley.com/documents/?uuid=5cdd0fa5-1aa6-451f-8246-e83a9716c5ce","http://www.mendeley.com/documents/?uuid=c9d9a5d9-0857-4ee3-919d-41dfa359cae0","http://www.mendeley.com/documents/?uuid=4bb10440-ece6-4e65-8237-4fd38c053e22","http://www.mendeley.com/documents/?uuid=e3318074-e2f5-40bc-827c-d47e014cbc27","http://www.mendeley.com/documents/?uuid=f109d130-4dbf-4558-8137-162faa473b54","http://www.mendeley.com/documents/?uuid=2bf87b1c-9dac-4021-8a3d-912cb1059188","http://www.mendeley.com/documents/?uuid=197d6ceb-62ef-4f63-b88f-d8062e404a4d","http://www.mendeley.com/documents/?uuid=1b06a846-48f7-428c-b0c8-f0f69a28e012"]}],"mendeley":{"formattedCitation":"[8,9]","plainTextFormattedCitation":"[8,9]","previouslyFormattedCitation":"[13,14]"},"properties":{"noteIndex":0},"schema":"https://github.com/citation-style-language/schema/raw/master/csl-citation.json"}</w:instrText>
      </w:r>
      <w:r w:rsidRPr="00B567CE">
        <w:rPr>
          <w:rFonts w:ascii="Arial" w:hAnsi="Arial" w:cs="Arial"/>
          <w:i/>
          <w:iCs/>
        </w:rPr>
        <w:fldChar w:fldCharType="separate"/>
      </w:r>
      <w:r w:rsidRPr="0028617E">
        <w:rPr>
          <w:rFonts w:ascii="Arial" w:hAnsi="Arial" w:cs="Arial"/>
          <w:iCs/>
          <w:noProof/>
        </w:rPr>
        <w:t>[8,9]</w:t>
      </w:r>
      <w:r w:rsidRPr="00B567CE">
        <w:rPr>
          <w:rFonts w:ascii="Arial" w:hAnsi="Arial" w:cs="Arial"/>
          <w:i/>
          <w:iCs/>
        </w:rPr>
        <w:fldChar w:fldCharType="end"/>
      </w:r>
      <w:r>
        <w:rPr>
          <w:rFonts w:ascii="Arial" w:hAnsi="Arial" w:cs="Arial"/>
          <w:i/>
          <w:iCs/>
        </w:rPr>
        <w:t>. A</w:t>
      </w:r>
      <w:r w:rsidRPr="00226D5B">
        <w:rPr>
          <w:rFonts w:ascii="Arial" w:eastAsia="Arial" w:hAnsi="Arial" w:cs="Arial"/>
          <w:color w:val="000000" w:themeColor="text1"/>
        </w:rPr>
        <w:t>ll other parameters were analyzed without any additional data transformation.</w:t>
      </w:r>
      <w:r>
        <w:rPr>
          <w:rFonts w:ascii="Arial" w:eastAsia="Arial" w:hAnsi="Arial" w:cs="Arial"/>
          <w:color w:val="000000" w:themeColor="text1"/>
        </w:rPr>
        <w:t xml:space="preserve"> </w:t>
      </w:r>
      <w:r w:rsidRPr="00140F4B">
        <w:rPr>
          <w:rFonts w:ascii="Arial" w:hAnsi="Arial" w:cs="Arial"/>
        </w:rPr>
        <w:t>IgG and IgM</w:t>
      </w:r>
      <w:r>
        <w:rPr>
          <w:rFonts w:ascii="Arial" w:hAnsi="Arial" w:cs="Arial"/>
          <w:i/>
          <w:iCs/>
        </w:rPr>
        <w:t xml:space="preserve"> </w:t>
      </w:r>
      <w:r>
        <w:rPr>
          <w:rFonts w:ascii="Arial" w:hAnsi="Arial" w:cs="Arial"/>
        </w:rPr>
        <w:t>a</w:t>
      </w:r>
      <w:r w:rsidRPr="00322020">
        <w:rPr>
          <w:rFonts w:ascii="Arial" w:hAnsi="Arial" w:cs="Arial"/>
        </w:rPr>
        <w:t xml:space="preserve">ntibodies were considered </w:t>
      </w:r>
      <w:r w:rsidRPr="00C373C5">
        <w:rPr>
          <w:rFonts w:ascii="Arial" w:hAnsi="Arial" w:cs="Arial"/>
          <w:i/>
          <w:iCs/>
        </w:rPr>
        <w:t>“positive”</w:t>
      </w:r>
      <w:r w:rsidRPr="00322020">
        <w:rPr>
          <w:rFonts w:ascii="Arial" w:hAnsi="Arial" w:cs="Arial"/>
        </w:rPr>
        <w:t xml:space="preserve"> if </w:t>
      </w:r>
      <w:r w:rsidRPr="006F7582">
        <w:rPr>
          <w:rFonts w:ascii="Arial" w:hAnsi="Arial" w:cs="Arial"/>
        </w:rPr>
        <w:t>NFI</w:t>
      </w:r>
      <w:r w:rsidRPr="00322020">
        <w:rPr>
          <w:rFonts w:ascii="Arial" w:hAnsi="Arial" w:cs="Arial"/>
        </w:rPr>
        <w:t xml:space="preserve"> was &gt;</w:t>
      </w:r>
      <w:r>
        <w:rPr>
          <w:rFonts w:ascii="Arial" w:hAnsi="Arial" w:cs="Arial"/>
        </w:rPr>
        <w:t xml:space="preserve"> 2</w:t>
      </w:r>
      <w:r w:rsidRPr="00322020">
        <w:rPr>
          <w:rFonts w:ascii="Arial" w:hAnsi="Arial" w:cs="Arial"/>
        </w:rPr>
        <w:t xml:space="preserve"> </w:t>
      </w:r>
      <w:r>
        <w:rPr>
          <w:rFonts w:ascii="Arial" w:hAnsi="Arial" w:cs="Arial"/>
        </w:rPr>
        <w:t>standard deviation (</w:t>
      </w:r>
      <w:r w:rsidRPr="00322020">
        <w:rPr>
          <w:rFonts w:ascii="Arial" w:hAnsi="Arial" w:cs="Arial"/>
        </w:rPr>
        <w:t>SD</w:t>
      </w:r>
      <w:r>
        <w:rPr>
          <w:rFonts w:ascii="Arial" w:hAnsi="Arial" w:cs="Arial"/>
        </w:rPr>
        <w:t>)</w:t>
      </w:r>
      <w:r w:rsidRPr="00322020">
        <w:rPr>
          <w:rFonts w:ascii="Arial" w:hAnsi="Arial" w:cs="Arial"/>
        </w:rPr>
        <w:t xml:space="preserve"> above the average </w:t>
      </w:r>
      <w:r w:rsidRPr="006F7582">
        <w:rPr>
          <w:rFonts w:ascii="Arial" w:hAnsi="Arial" w:cs="Arial"/>
        </w:rPr>
        <w:t>NFI</w:t>
      </w:r>
      <w:r w:rsidRPr="00322020">
        <w:rPr>
          <w:rFonts w:ascii="Arial" w:hAnsi="Arial" w:cs="Arial"/>
        </w:rPr>
        <w:t xml:space="preserve"> for</w:t>
      </w:r>
      <w:r>
        <w:rPr>
          <w:rFonts w:ascii="Arial" w:hAnsi="Arial" w:cs="Arial"/>
        </w:rPr>
        <w:t xml:space="preserve"> pre-pandemic controls</w:t>
      </w:r>
      <w:r w:rsidRPr="00322020">
        <w:rPr>
          <w:rFonts w:ascii="Arial" w:hAnsi="Arial" w:cs="Arial"/>
        </w:rPr>
        <w:t xml:space="preserve"> for that antigen</w:t>
      </w:r>
      <w:r>
        <w:rPr>
          <w:rFonts w:ascii="Arial" w:hAnsi="Arial" w:cs="Arial"/>
        </w:rPr>
        <w:t xml:space="preserve">. </w:t>
      </w:r>
    </w:p>
    <w:p w14:paraId="39C60A3E" w14:textId="3A916C90" w:rsidR="00E06FE9" w:rsidRPr="00E06FE9" w:rsidRDefault="00476487" w:rsidP="00E06FE9">
      <w:pPr>
        <w:spacing w:line="480" w:lineRule="auto"/>
        <w:jc w:val="both"/>
        <w:rPr>
          <w:rFonts w:ascii="Arial" w:eastAsia="Arial" w:hAnsi="Arial" w:cs="Arial"/>
          <w:color w:val="000000" w:themeColor="text1"/>
        </w:rPr>
      </w:pPr>
      <w:r>
        <w:rPr>
          <w:rFonts w:ascii="Arial" w:hAnsi="Arial" w:cs="Arial"/>
        </w:rPr>
        <w:t xml:space="preserve">Next, we evaluated the correlation between IgG </w:t>
      </w:r>
      <w:r>
        <w:rPr>
          <w:rFonts w:ascii="Arial" w:eastAsia="Arial" w:hAnsi="Arial" w:cs="Arial"/>
          <w:color w:val="000000" w:themeColor="text1"/>
          <w:lang w:eastAsia="es-ES"/>
        </w:rPr>
        <w:t>a</w:t>
      </w:r>
      <w:r w:rsidRPr="0020509C">
        <w:rPr>
          <w:rFonts w:ascii="Arial" w:eastAsia="Arial" w:hAnsi="Arial" w:cs="Arial"/>
          <w:color w:val="000000" w:themeColor="text1"/>
          <w:lang w:eastAsia="es-ES"/>
        </w:rPr>
        <w:t>nti-SARS-CoV-2</w:t>
      </w:r>
      <w:r>
        <w:rPr>
          <w:rFonts w:ascii="Arial" w:eastAsia="Arial" w:hAnsi="Arial" w:cs="Arial"/>
          <w:color w:val="000000" w:themeColor="text1"/>
          <w:lang w:eastAsia="es-ES"/>
        </w:rPr>
        <w:t xml:space="preserve"> antibodies and the rest of antibodies included in the panel. We also explored the correlations for age and body mass index (BMI). </w:t>
      </w:r>
      <w:r>
        <w:rPr>
          <w:rFonts w:ascii="Arial" w:eastAsia="Arial" w:hAnsi="Arial" w:cs="Arial"/>
          <w:color w:val="000000" w:themeColor="text1"/>
        </w:rPr>
        <w:t xml:space="preserve">Spearman correlation test was used in these analyses. To evaluate the influence of sex, we fitted linear regression models for each IgG autoantibody adjusted by age. </w:t>
      </w:r>
      <w:r w:rsidRPr="00265F44">
        <w:rPr>
          <w:rFonts w:ascii="Arial" w:eastAsia="Arial" w:hAnsi="Arial" w:cs="Arial"/>
          <w:color w:val="000000" w:themeColor="text1"/>
        </w:rPr>
        <w:t xml:space="preserve">The significance level of the study was set </w:t>
      </w:r>
      <w:r>
        <w:rPr>
          <w:rFonts w:ascii="Arial" w:eastAsia="Arial" w:hAnsi="Arial" w:cs="Arial"/>
          <w:color w:val="000000" w:themeColor="text1"/>
        </w:rPr>
        <w:t>at</w:t>
      </w:r>
      <w:r w:rsidRPr="00265F44">
        <w:rPr>
          <w:rFonts w:ascii="Arial" w:eastAsia="Arial" w:hAnsi="Arial" w:cs="Arial"/>
          <w:color w:val="000000" w:themeColor="text1"/>
        </w:rPr>
        <w:t xml:space="preserve"> 0.05. Statistical analyses were done using R software version 4.0.</w:t>
      </w:r>
      <w:r>
        <w:rPr>
          <w:rFonts w:ascii="Arial" w:eastAsia="Arial" w:hAnsi="Arial" w:cs="Arial"/>
          <w:color w:val="000000" w:themeColor="text1"/>
        </w:rPr>
        <w:t>4</w:t>
      </w:r>
      <w:r w:rsidRPr="00265F44">
        <w:rPr>
          <w:rFonts w:ascii="Arial" w:eastAsia="Arial" w:hAnsi="Arial" w:cs="Arial"/>
          <w:color w:val="000000" w:themeColor="text1"/>
        </w:rPr>
        <w:t>.</w:t>
      </w:r>
    </w:p>
    <w:sectPr w:rsidR="00E06FE9" w:rsidRPr="00E06FE9" w:rsidSect="008753B7">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136C" w14:textId="77777777" w:rsidR="00C26F39" w:rsidRDefault="00C26F39" w:rsidP="0010312A">
      <w:r>
        <w:separator/>
      </w:r>
    </w:p>
  </w:endnote>
  <w:endnote w:type="continuationSeparator" w:id="0">
    <w:p w14:paraId="59509A34" w14:textId="77777777" w:rsidR="00C26F39" w:rsidRDefault="00C26F39" w:rsidP="001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5B33B" w14:textId="77777777" w:rsidR="00C26F39" w:rsidRDefault="00C26F39" w:rsidP="0010312A">
      <w:r>
        <w:separator/>
      </w:r>
    </w:p>
  </w:footnote>
  <w:footnote w:type="continuationSeparator" w:id="0">
    <w:p w14:paraId="47656F86" w14:textId="77777777" w:rsidR="00C26F39" w:rsidRDefault="00C26F39" w:rsidP="00103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87"/>
    <w:rsid w:val="0010312A"/>
    <w:rsid w:val="00166502"/>
    <w:rsid w:val="00476487"/>
    <w:rsid w:val="008753B7"/>
    <w:rsid w:val="0094510E"/>
    <w:rsid w:val="00A21760"/>
    <w:rsid w:val="00BC2D8B"/>
    <w:rsid w:val="00C26F39"/>
    <w:rsid w:val="00D53CAD"/>
    <w:rsid w:val="00E06FE9"/>
    <w:rsid w:val="00EB71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458A"/>
  <w15:chartTrackingRefBased/>
  <w15:docId w15:val="{4F3C0980-D442-4587-B663-00ED8D38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87"/>
    <w:pPr>
      <w:spacing w:after="0" w:line="240" w:lineRule="auto"/>
    </w:pPr>
    <w:rPr>
      <w:rFonts w:ascii="Times New Roman" w:hAnsi="Times New Roman" w:cs="Times New Roman"/>
      <w:sz w:val="24"/>
      <w:szCs w:val="24"/>
      <w:lang w:val="en-U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ser">
    <w:name w:val="Teaser"/>
    <w:basedOn w:val="Normal"/>
    <w:rsid w:val="00EB71AA"/>
    <w:pPr>
      <w:spacing w:before="120"/>
    </w:pPr>
    <w:rPr>
      <w:rFonts w:eastAsia="Times New Roman"/>
      <w:lang w:eastAsia="en-US"/>
    </w:rPr>
  </w:style>
  <w:style w:type="character" w:styleId="Hyperlink">
    <w:name w:val="Hyperlink"/>
    <w:basedOn w:val="DefaultParagraphFont"/>
    <w:uiPriority w:val="99"/>
    <w:unhideWhenUsed/>
    <w:rsid w:val="00EB71AA"/>
    <w:rPr>
      <w:color w:val="0563C1" w:themeColor="hyperlink"/>
      <w:u w:val="single"/>
    </w:rPr>
  </w:style>
  <w:style w:type="character" w:styleId="LineNumber">
    <w:name w:val="line number"/>
    <w:basedOn w:val="DefaultParagraphFont"/>
    <w:uiPriority w:val="99"/>
    <w:semiHidden/>
    <w:unhideWhenUsed/>
    <w:rsid w:val="008753B7"/>
  </w:style>
  <w:style w:type="paragraph" w:styleId="Header">
    <w:name w:val="header"/>
    <w:basedOn w:val="Normal"/>
    <w:link w:val="HeaderChar"/>
    <w:uiPriority w:val="99"/>
    <w:unhideWhenUsed/>
    <w:rsid w:val="0010312A"/>
    <w:pPr>
      <w:tabs>
        <w:tab w:val="center" w:pos="4252"/>
        <w:tab w:val="right" w:pos="8504"/>
      </w:tabs>
    </w:pPr>
  </w:style>
  <w:style w:type="character" w:customStyle="1" w:styleId="HeaderChar">
    <w:name w:val="Header Char"/>
    <w:basedOn w:val="DefaultParagraphFont"/>
    <w:link w:val="Header"/>
    <w:uiPriority w:val="99"/>
    <w:rsid w:val="0010312A"/>
    <w:rPr>
      <w:rFonts w:ascii="Times New Roman" w:hAnsi="Times New Roman" w:cs="Times New Roman"/>
      <w:sz w:val="24"/>
      <w:szCs w:val="24"/>
      <w:lang w:val="en-US" w:eastAsia="es-ES_tradnl"/>
    </w:rPr>
  </w:style>
  <w:style w:type="paragraph" w:styleId="Footer">
    <w:name w:val="footer"/>
    <w:basedOn w:val="Normal"/>
    <w:link w:val="FooterChar"/>
    <w:uiPriority w:val="99"/>
    <w:unhideWhenUsed/>
    <w:rsid w:val="0010312A"/>
    <w:pPr>
      <w:tabs>
        <w:tab w:val="center" w:pos="4252"/>
        <w:tab w:val="right" w:pos="8504"/>
      </w:tabs>
    </w:pPr>
  </w:style>
  <w:style w:type="character" w:customStyle="1" w:styleId="FooterChar">
    <w:name w:val="Footer Char"/>
    <w:basedOn w:val="DefaultParagraphFont"/>
    <w:link w:val="Footer"/>
    <w:uiPriority w:val="99"/>
    <w:rsid w:val="0010312A"/>
    <w:rPr>
      <w:rFonts w:ascii="Times New Roman" w:hAnsi="Times New Roman" w:cs="Times New Roman"/>
      <w:sz w:val="24"/>
      <w:szCs w:val="24"/>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an.anaya@urosario.edu.c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3986</Words>
  <Characters>22721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26654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JTM</dc:title>
  <dc:subject>Suppl Material 1</dc:subject>
  <dc:creator>Rojas et al. </dc:creator>
  <cp:keywords/>
  <dc:description/>
  <cp:lastModifiedBy>Swathi R.</cp:lastModifiedBy>
  <cp:revision>7</cp:revision>
  <dcterms:created xsi:type="dcterms:W3CDTF">2022-02-06T20:09:00Z</dcterms:created>
  <dcterms:modified xsi:type="dcterms:W3CDTF">2022-03-04T08:28:00Z</dcterms:modified>
  <cp:category/>
</cp:coreProperties>
</file>