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ED5C" w14:textId="77777777" w:rsidR="00801D22" w:rsidRDefault="00FE4B90">
      <w:pPr>
        <w:pStyle w:val="Title"/>
        <w:rPr>
          <w:b/>
          <w:sz w:val="24"/>
          <w:szCs w:val="24"/>
        </w:rPr>
      </w:pPr>
      <w:bookmarkStart w:id="0" w:name="_ezutvhthmkr9" w:colFirst="0" w:colLast="0"/>
      <w:bookmarkEnd w:id="0"/>
      <w:r>
        <w:rPr>
          <w:b/>
          <w:sz w:val="32"/>
          <w:szCs w:val="32"/>
        </w:rPr>
        <w:t xml:space="preserve">Supplementary information </w:t>
      </w:r>
    </w:p>
    <w:p w14:paraId="4DBA2AC0" w14:textId="47B3F043" w:rsidR="00017A29" w:rsidRDefault="00017A29" w:rsidP="00017A29">
      <w:pPr>
        <w:pStyle w:val="Title"/>
        <w:rPr>
          <w:b/>
          <w:sz w:val="28"/>
          <w:szCs w:val="28"/>
        </w:rPr>
      </w:pPr>
      <w:bookmarkStart w:id="1" w:name="_3fmghhea2zoa" w:colFirst="0" w:colLast="0"/>
      <w:bookmarkStart w:id="2" w:name="_heading=h.gjdgxs" w:colFirst="0" w:colLast="0"/>
      <w:bookmarkEnd w:id="1"/>
      <w:bookmarkEnd w:id="2"/>
      <w:r>
        <w:rPr>
          <w:b/>
          <w:sz w:val="28"/>
          <w:szCs w:val="28"/>
        </w:rPr>
        <w:t>Higher polygenic risk for melanoma is associated with improved survival</w:t>
      </w:r>
      <w:r w:rsidR="007D55C0">
        <w:rPr>
          <w:b/>
          <w:sz w:val="28"/>
          <w:szCs w:val="28"/>
        </w:rPr>
        <w:t xml:space="preserve"> in a high ultraviolet radiation setting.</w:t>
      </w:r>
      <w:bookmarkStart w:id="3" w:name="_GoBack"/>
      <w:bookmarkEnd w:id="3"/>
    </w:p>
    <w:p w14:paraId="25DE4AB4" w14:textId="581EE8F8" w:rsidR="00A17594" w:rsidRDefault="00A17594" w:rsidP="00A17594">
      <w:pPr>
        <w:spacing w:after="200"/>
      </w:pPr>
      <w:r>
        <w:rPr>
          <w:b/>
        </w:rPr>
        <w:t xml:space="preserve">Mathias Seviiri* </w:t>
      </w:r>
      <w:r>
        <w:t>(ORCiD 0000-0002-8610-3283)</w:t>
      </w:r>
      <w:r>
        <w:rPr>
          <w:b/>
          <w:vertAlign w:val="superscript"/>
        </w:rPr>
        <w:t>1,2,3</w:t>
      </w:r>
      <w:r>
        <w:rPr>
          <w:b/>
        </w:rPr>
        <w:t xml:space="preserve">, Richard A. </w:t>
      </w:r>
      <w:proofErr w:type="spellStart"/>
      <w:r>
        <w:rPr>
          <w:b/>
        </w:rPr>
        <w:t>Scolyer</w:t>
      </w:r>
      <w:proofErr w:type="spellEnd"/>
      <w:r>
        <w:t xml:space="preserve"> (ORCiD 0000-0002-8991-0013)</w:t>
      </w:r>
      <w:r>
        <w:rPr>
          <w:vertAlign w:val="superscript"/>
        </w:rPr>
        <w:t>4,5,6,7</w:t>
      </w:r>
      <w:r>
        <w:t xml:space="preserve">, </w:t>
      </w:r>
      <w:r>
        <w:rPr>
          <w:b/>
        </w:rPr>
        <w:t>D. Timothy Bishop</w:t>
      </w:r>
      <w:r>
        <w:t xml:space="preserve"> (ORCiD 0000-0002-8752-8785)</w:t>
      </w:r>
      <w:r>
        <w:rPr>
          <w:vertAlign w:val="superscript"/>
        </w:rPr>
        <w:t>8</w:t>
      </w:r>
      <w:r>
        <w:t xml:space="preserve">, </w:t>
      </w:r>
      <w:r w:rsidRPr="0077376F">
        <w:rPr>
          <w:b/>
        </w:rPr>
        <w:t>Julia A. Newton-Bishop</w:t>
      </w:r>
      <w:r>
        <w:t xml:space="preserve"> </w:t>
      </w:r>
      <w:r w:rsidRPr="00386C63">
        <w:t>(</w:t>
      </w:r>
      <w:r w:rsidRPr="00103657">
        <w:t xml:space="preserve">ORCiD </w:t>
      </w:r>
      <w:r w:rsidRPr="00103657">
        <w:rPr>
          <w:rStyle w:val="Strong"/>
          <w:color w:val="000000"/>
          <w:spacing w:val="8"/>
        </w:rPr>
        <w:t xml:space="preserve"> </w:t>
      </w:r>
      <w:r w:rsidRPr="005243DE">
        <w:rPr>
          <w:rStyle w:val="Strong"/>
          <w:b w:val="0"/>
          <w:color w:val="000000"/>
          <w:spacing w:val="8"/>
        </w:rPr>
        <w:t>0000-0001-9147-6802</w:t>
      </w:r>
      <w:r w:rsidRPr="00386C63">
        <w:t>)</w:t>
      </w:r>
      <w:r w:rsidRPr="0077376F">
        <w:rPr>
          <w:vertAlign w:val="superscript"/>
        </w:rPr>
        <w:t>8</w:t>
      </w:r>
      <w:r>
        <w:t xml:space="preserve">, </w:t>
      </w:r>
      <w:r>
        <w:rPr>
          <w:b/>
        </w:rPr>
        <w:t>Mark M. Iles</w:t>
      </w:r>
      <w:r>
        <w:t xml:space="preserve"> (ORCiD 0000-0002-2603-6509)</w:t>
      </w:r>
      <w:r>
        <w:rPr>
          <w:color w:val="3C4043"/>
          <w:vertAlign w:val="superscript"/>
        </w:rPr>
        <w:t>9,10</w:t>
      </w:r>
      <w:r>
        <w:rPr>
          <w:b/>
        </w:rPr>
        <w:t xml:space="preserve">, </w:t>
      </w:r>
      <w:proofErr w:type="spellStart"/>
      <w:r>
        <w:rPr>
          <w:b/>
        </w:rPr>
        <w:t>Serigne</w:t>
      </w:r>
      <w:proofErr w:type="spellEnd"/>
      <w:r>
        <w:rPr>
          <w:b/>
        </w:rPr>
        <w:t xml:space="preserve"> N. Lo  </w:t>
      </w:r>
      <w:r>
        <w:t>(ORCiD 0000-0001-5092-5544)</w:t>
      </w:r>
      <w:r>
        <w:rPr>
          <w:vertAlign w:val="superscript"/>
        </w:rPr>
        <w:t>4,5</w:t>
      </w:r>
      <w:r>
        <w:t xml:space="preserve">, </w:t>
      </w:r>
      <w:r>
        <w:rPr>
          <w:b/>
        </w:rPr>
        <w:t>Johnathan R. Stretch</w:t>
      </w:r>
      <w:r>
        <w:t xml:space="preserve"> </w:t>
      </w:r>
      <w:r>
        <w:rPr>
          <w:vertAlign w:val="superscript"/>
        </w:rPr>
        <w:t>4,5,11</w:t>
      </w:r>
      <w:r>
        <w:t xml:space="preserve">, </w:t>
      </w:r>
      <w:r>
        <w:rPr>
          <w:b/>
        </w:rPr>
        <w:t>Robyn P.M. Saw</w:t>
      </w:r>
      <w:r>
        <w:t xml:space="preserve"> </w:t>
      </w:r>
      <w:r>
        <w:rPr>
          <w:vertAlign w:val="superscript"/>
        </w:rPr>
        <w:t>4,5,11</w:t>
      </w:r>
      <w:r>
        <w:t xml:space="preserve">,  </w:t>
      </w:r>
      <w:proofErr w:type="spellStart"/>
      <w:r>
        <w:rPr>
          <w:b/>
        </w:rPr>
        <w:t>Omgo</w:t>
      </w:r>
      <w:proofErr w:type="spellEnd"/>
      <w:r>
        <w:rPr>
          <w:b/>
        </w:rPr>
        <w:t xml:space="preserve"> E. </w:t>
      </w:r>
      <w:proofErr w:type="spellStart"/>
      <w:r>
        <w:rPr>
          <w:b/>
        </w:rPr>
        <w:t>Nieweg</w:t>
      </w:r>
      <w:proofErr w:type="spellEnd"/>
      <w:r>
        <w:t xml:space="preserve"> </w:t>
      </w:r>
      <w:r>
        <w:rPr>
          <w:vertAlign w:val="superscript"/>
        </w:rPr>
        <w:t>4,5,11</w:t>
      </w:r>
      <w:r>
        <w:t xml:space="preserve">, </w:t>
      </w:r>
      <w:proofErr w:type="spellStart"/>
      <w:r>
        <w:rPr>
          <w:b/>
        </w:rPr>
        <w:t>Kerwin</w:t>
      </w:r>
      <w:proofErr w:type="spellEnd"/>
      <w:r>
        <w:rPr>
          <w:b/>
        </w:rPr>
        <w:t xml:space="preserve"> F. Shannon </w:t>
      </w:r>
      <w:r>
        <w:rPr>
          <w:vertAlign w:val="superscript"/>
        </w:rPr>
        <w:t>4,11,12</w:t>
      </w:r>
      <w:r>
        <w:t xml:space="preserve">, </w:t>
      </w:r>
      <w:r>
        <w:rPr>
          <w:b/>
        </w:rPr>
        <w:t>Andrew J. Spillane</w:t>
      </w:r>
      <w:r>
        <w:t xml:space="preserve"> </w:t>
      </w:r>
      <w:r>
        <w:rPr>
          <w:vertAlign w:val="superscript"/>
        </w:rPr>
        <w:t>4,5,13</w:t>
      </w:r>
      <w:r>
        <w:t xml:space="preserve">, </w:t>
      </w:r>
      <w:r>
        <w:rPr>
          <w:b/>
        </w:rPr>
        <w:t xml:space="preserve">Scott D. Gordon </w:t>
      </w:r>
      <w:r>
        <w:t xml:space="preserve">(ORCiD </w:t>
      </w:r>
      <w:r w:rsidRPr="005243DE">
        <w:t>0000-0001-7623-328X</w:t>
      </w:r>
      <w:r>
        <w:t>)</w:t>
      </w:r>
      <w:r>
        <w:rPr>
          <w:vertAlign w:val="superscript"/>
        </w:rPr>
        <w:t>14</w:t>
      </w:r>
      <w:r>
        <w:t xml:space="preserve">, </w:t>
      </w:r>
      <w:r>
        <w:rPr>
          <w:b/>
        </w:rPr>
        <w:t xml:space="preserve">Catherine M. Olsen </w:t>
      </w:r>
      <w:r>
        <w:t>(ORCiD 0000-0003-4483-1888)</w:t>
      </w:r>
      <w:r>
        <w:rPr>
          <w:vertAlign w:val="superscript"/>
        </w:rPr>
        <w:t>15,16</w:t>
      </w:r>
      <w:r>
        <w:rPr>
          <w:b/>
        </w:rPr>
        <w:t xml:space="preserve">, David C. Whiteman </w:t>
      </w:r>
      <w:r>
        <w:t>(ORCiD 0000-0003-2563-9559)</w:t>
      </w:r>
      <w:r>
        <w:rPr>
          <w:vertAlign w:val="superscript"/>
        </w:rPr>
        <w:t>15</w:t>
      </w:r>
      <w:r>
        <w:t>,</w:t>
      </w:r>
      <w:r>
        <w:rPr>
          <w:b/>
        </w:rPr>
        <w:t xml:space="preserve"> Maria T</w:t>
      </w:r>
      <w:r w:rsidR="00236773">
        <w:rPr>
          <w:b/>
        </w:rPr>
        <w:t>eresa</w:t>
      </w:r>
      <w:r>
        <w:rPr>
          <w:b/>
        </w:rPr>
        <w:t xml:space="preserve"> Landi </w:t>
      </w:r>
      <w:r>
        <w:t>(ORCiD 0000-0003-4507-329X)</w:t>
      </w:r>
      <w:r>
        <w:rPr>
          <w:vertAlign w:val="superscript"/>
        </w:rPr>
        <w:t>17</w:t>
      </w:r>
      <w:r>
        <w:rPr>
          <w:b/>
        </w:rPr>
        <w:t>, John F. Thompson</w:t>
      </w:r>
      <w:r>
        <w:t xml:space="preserve"> (ORCiD 0000-0002-2816-2496)</w:t>
      </w:r>
      <w:r>
        <w:rPr>
          <w:vertAlign w:val="superscript"/>
        </w:rPr>
        <w:t>4,5,11</w:t>
      </w:r>
      <w:r>
        <w:rPr>
          <w:b/>
        </w:rPr>
        <w:t>, Georgina V. Long (</w:t>
      </w:r>
      <w:r>
        <w:t>ORCiD 0000-0001-8894-3545)</w:t>
      </w:r>
      <w:r>
        <w:rPr>
          <w:vertAlign w:val="superscript"/>
        </w:rPr>
        <w:t>4,5,18,19</w:t>
      </w:r>
      <w:r>
        <w:t>,</w:t>
      </w:r>
      <w:r>
        <w:rPr>
          <w:b/>
        </w:rPr>
        <w:t xml:space="preserve"> Stuart MacGregor </w:t>
      </w:r>
      <w:r>
        <w:t>(ORCiD 0000-0001-6731-8142)</w:t>
      </w:r>
      <w:r>
        <w:rPr>
          <w:b/>
          <w:vertAlign w:val="superscript"/>
        </w:rPr>
        <w:t>1,2</w:t>
      </w:r>
      <w:r>
        <w:rPr>
          <w:b/>
        </w:rPr>
        <w:t>,</w:t>
      </w:r>
      <w:r>
        <w:t xml:space="preserve"> and</w:t>
      </w:r>
      <w:r>
        <w:rPr>
          <w:vertAlign w:val="superscript"/>
        </w:rPr>
        <w:t xml:space="preserve"> </w:t>
      </w:r>
      <w:r>
        <w:rPr>
          <w:b/>
        </w:rPr>
        <w:t xml:space="preserve">Matthew H. Law </w:t>
      </w:r>
      <w:r>
        <w:t>(ORCiD 0000-0002-4303-8821)</w:t>
      </w:r>
      <w:r>
        <w:rPr>
          <w:b/>
          <w:vertAlign w:val="superscript"/>
        </w:rPr>
        <w:t>1,2*</w:t>
      </w:r>
    </w:p>
    <w:p w14:paraId="5BE4A5DE" w14:textId="77777777" w:rsidR="00A17594" w:rsidRDefault="00A17594" w:rsidP="00A17594">
      <w:pPr>
        <w:pStyle w:val="Heading2"/>
        <w:spacing w:after="200"/>
      </w:pPr>
      <w:bookmarkStart w:id="4" w:name="_heading=h.30j0zll" w:colFirst="0" w:colLast="0"/>
      <w:bookmarkEnd w:id="4"/>
    </w:p>
    <w:p w14:paraId="6DBC249D" w14:textId="77777777" w:rsidR="00A17594" w:rsidRDefault="00A17594" w:rsidP="00A17594">
      <w:pPr>
        <w:pStyle w:val="Heading2"/>
        <w:spacing w:after="200"/>
      </w:pPr>
      <w:r>
        <w:t>Affiliations</w:t>
      </w:r>
    </w:p>
    <w:p w14:paraId="65D59B9C" w14:textId="77777777" w:rsidR="00A17594" w:rsidRDefault="00A17594" w:rsidP="00A17594">
      <w:pPr>
        <w:spacing w:after="0"/>
        <w:ind w:left="708" w:hanging="285"/>
      </w:pPr>
      <w:r>
        <w:t>1. Statistical Genetics Lab, QIMR Berghofer Medical Research Institute, Brisbane, QLD, Australia.</w:t>
      </w:r>
    </w:p>
    <w:p w14:paraId="4EBFA42F" w14:textId="77777777" w:rsidR="00A17594" w:rsidRDefault="00A17594" w:rsidP="00A17594">
      <w:pPr>
        <w:spacing w:after="0"/>
        <w:ind w:left="708" w:hanging="285"/>
      </w:pPr>
      <w:r>
        <w:t>2. School of Biomedical Sciences, Faculty of Health, Queensland University of Technology, Brisbane, QLD, Australia.</w:t>
      </w:r>
    </w:p>
    <w:p w14:paraId="290A8A39" w14:textId="77777777" w:rsidR="00A17594" w:rsidRDefault="00A17594" w:rsidP="00A17594">
      <w:pPr>
        <w:spacing w:after="0"/>
        <w:ind w:left="708" w:hanging="285"/>
      </w:pPr>
      <w:r>
        <w:t xml:space="preserve">3. </w:t>
      </w:r>
      <w:proofErr w:type="spellStart"/>
      <w:r>
        <w:t>Center</w:t>
      </w:r>
      <w:proofErr w:type="spellEnd"/>
      <w:r>
        <w:t xml:space="preserve"> for Genomics and Personalised Health, Queensland University of Technology, Brisbane, QLD, Australia.</w:t>
      </w:r>
    </w:p>
    <w:p w14:paraId="14657CCF" w14:textId="77777777" w:rsidR="00A17594" w:rsidRDefault="00A17594" w:rsidP="00A17594">
      <w:pPr>
        <w:spacing w:after="0"/>
        <w:ind w:left="708" w:hanging="285"/>
      </w:pPr>
      <w:r>
        <w:t>4. Melanoma Institute Australia, The University of Sydney, Sydney, NSW, Australia.</w:t>
      </w:r>
    </w:p>
    <w:p w14:paraId="1471CB59" w14:textId="77777777" w:rsidR="00A17594" w:rsidRDefault="00A17594" w:rsidP="00A17594">
      <w:pPr>
        <w:spacing w:after="0"/>
        <w:ind w:left="708" w:hanging="285"/>
      </w:pPr>
      <w:r>
        <w:t>5. Faculty of Medicine and Health, The University of Sydney, Sydney, NSW, Australia.</w:t>
      </w:r>
    </w:p>
    <w:p w14:paraId="6C92C702" w14:textId="77777777" w:rsidR="00A17594" w:rsidRDefault="00A17594" w:rsidP="00A17594">
      <w:pPr>
        <w:spacing w:after="0"/>
        <w:ind w:left="708" w:hanging="285"/>
      </w:pPr>
      <w:r>
        <w:lastRenderedPageBreak/>
        <w:t>6. Department of Tissue Oncology and Diagnostic Pathology, Royal Prince Alfred Hospital, Sydney, NSW, Australia.</w:t>
      </w:r>
    </w:p>
    <w:p w14:paraId="55E981F9" w14:textId="77777777" w:rsidR="00A17594" w:rsidRDefault="00A17594" w:rsidP="00A17594">
      <w:pPr>
        <w:spacing w:after="0"/>
        <w:ind w:left="708" w:hanging="285"/>
      </w:pPr>
      <w:r>
        <w:t>7. NSW Health Pathology, Sydney, NSW, Australia.</w:t>
      </w:r>
    </w:p>
    <w:p w14:paraId="7A2C1D2C" w14:textId="77777777" w:rsidR="00A17594" w:rsidRDefault="00A17594" w:rsidP="00A17594">
      <w:pPr>
        <w:spacing w:after="0"/>
        <w:ind w:left="708" w:hanging="285"/>
      </w:pPr>
      <w:r>
        <w:t>8. Division of Haematology and Immunology, Leeds Institute of Medical Research at St James’, University of Leeds, Leeds, UK.</w:t>
      </w:r>
    </w:p>
    <w:p w14:paraId="09681A86" w14:textId="77777777" w:rsidR="00A17594" w:rsidRDefault="00A17594" w:rsidP="00A17594">
      <w:pPr>
        <w:spacing w:after="0"/>
        <w:ind w:left="708" w:hanging="285"/>
      </w:pPr>
      <w:r>
        <w:t>9. St James’s Institute of Medical Research, University of Leeds, Leeds, UK.</w:t>
      </w:r>
    </w:p>
    <w:p w14:paraId="79CE2BC4" w14:textId="77777777" w:rsidR="00A17594" w:rsidRDefault="00A17594" w:rsidP="00A17594">
      <w:pPr>
        <w:spacing w:after="0"/>
        <w:ind w:left="708" w:hanging="285"/>
      </w:pPr>
      <w:r>
        <w:t>10. Leeds Institute of Data Analytics, University of Leeds, Leeds, UK.</w:t>
      </w:r>
    </w:p>
    <w:p w14:paraId="7571FB08" w14:textId="77777777" w:rsidR="00A17594" w:rsidRDefault="00A17594" w:rsidP="00A17594">
      <w:pPr>
        <w:spacing w:after="0"/>
        <w:ind w:left="708" w:hanging="285"/>
      </w:pPr>
      <w:r>
        <w:t>11.Department of Melanoma and Surgical Oncology, Royal Prince Alfred Hospital, Camperdown, NSW Australia.</w:t>
      </w:r>
    </w:p>
    <w:p w14:paraId="30B8536D" w14:textId="77777777" w:rsidR="00A17594" w:rsidRDefault="00A17594" w:rsidP="00A17594">
      <w:pPr>
        <w:spacing w:after="0"/>
        <w:ind w:left="708" w:hanging="285"/>
      </w:pPr>
      <w:r>
        <w:t xml:space="preserve">12. Sydney Head &amp; Neck Cancer Institute, Chris O’Brien </w:t>
      </w:r>
      <w:proofErr w:type="spellStart"/>
      <w:r>
        <w:t>Lifehouse</w:t>
      </w:r>
      <w:proofErr w:type="spellEnd"/>
      <w:r>
        <w:t xml:space="preserve"> Cancer </w:t>
      </w:r>
      <w:proofErr w:type="spellStart"/>
      <w:r>
        <w:t>Center</w:t>
      </w:r>
      <w:proofErr w:type="spellEnd"/>
      <w:r>
        <w:t>, Sydney, NSW, Australia.</w:t>
      </w:r>
    </w:p>
    <w:p w14:paraId="2A653745" w14:textId="77777777" w:rsidR="00A17594" w:rsidRDefault="00A17594" w:rsidP="00A17594">
      <w:pPr>
        <w:spacing w:after="0"/>
        <w:ind w:left="708" w:hanging="285"/>
        <w:rPr>
          <w:color w:val="212121"/>
          <w:highlight w:val="white"/>
        </w:rPr>
      </w:pPr>
      <w:r>
        <w:rPr>
          <w:color w:val="212121"/>
          <w:highlight w:val="white"/>
        </w:rPr>
        <w:t>13. Department of Breast and Melanoma Surgery, Royal North Shore Hospital, Sydney, NSW, Australia.</w:t>
      </w:r>
    </w:p>
    <w:p w14:paraId="08060E2A" w14:textId="77777777" w:rsidR="00A17594" w:rsidRDefault="00A17594" w:rsidP="00A17594">
      <w:pPr>
        <w:spacing w:after="0"/>
        <w:ind w:left="708" w:hanging="285"/>
      </w:pPr>
      <w:r>
        <w:rPr>
          <w:color w:val="212121"/>
          <w:highlight w:val="white"/>
        </w:rPr>
        <w:t xml:space="preserve">14. Genetic Epidemiology Lab, </w:t>
      </w:r>
      <w:r>
        <w:t>QIMR Berghofer Medical Research Institute, Brisbane, QLD, Australia.</w:t>
      </w:r>
    </w:p>
    <w:p w14:paraId="6B5A084B" w14:textId="77777777" w:rsidR="00A17594" w:rsidRDefault="00A17594" w:rsidP="00A17594">
      <w:pPr>
        <w:spacing w:after="0"/>
        <w:ind w:left="708" w:hanging="285"/>
      </w:pPr>
      <w:r>
        <w:t>15. Cancer Control Group, QIMR Berghofer Medical Research Institute, Brisbane, QLD, Australia.</w:t>
      </w:r>
    </w:p>
    <w:p w14:paraId="77FD176F" w14:textId="77777777" w:rsidR="00A17594" w:rsidRDefault="00A17594" w:rsidP="00A17594">
      <w:pPr>
        <w:spacing w:after="0"/>
        <w:ind w:left="708" w:hanging="285"/>
      </w:pPr>
      <w:r>
        <w:t>16. Faculty of Medicine, University of Queensland, Brisbane, QLD, Australia.</w:t>
      </w:r>
    </w:p>
    <w:p w14:paraId="4378F6A2" w14:textId="77777777" w:rsidR="00A17594" w:rsidRDefault="00A17594" w:rsidP="00A17594">
      <w:pPr>
        <w:spacing w:after="0"/>
        <w:ind w:left="708" w:hanging="285"/>
      </w:pPr>
      <w:r>
        <w:t>17. Division of Cancer Epidemiology and Genetics, National Cancer Institute, National Institutes of Health, Bethesda, Maryland, USA.</w:t>
      </w:r>
    </w:p>
    <w:p w14:paraId="129A81B1" w14:textId="77777777" w:rsidR="00A17594" w:rsidRDefault="00A17594" w:rsidP="00A17594">
      <w:pPr>
        <w:spacing w:after="0"/>
        <w:ind w:left="708" w:hanging="285"/>
      </w:pPr>
      <w:r>
        <w:t>18. Department of Medical Oncology, Mater Hospital, North Sydney, NSW, Australia.</w:t>
      </w:r>
    </w:p>
    <w:p w14:paraId="4C6E18CD" w14:textId="77777777" w:rsidR="00A17594" w:rsidRDefault="00A17594" w:rsidP="00A17594">
      <w:pPr>
        <w:spacing w:after="0"/>
        <w:ind w:left="708" w:hanging="285"/>
      </w:pPr>
      <w:r>
        <w:t>19. Department of Medical Oncology, Royal North Shore Hospital, St Leonards, NSW, Australia.</w:t>
      </w:r>
    </w:p>
    <w:p w14:paraId="36BA3E79" w14:textId="77777777" w:rsidR="00A17594" w:rsidRDefault="00A17594" w:rsidP="00A17594">
      <w:pPr>
        <w:spacing w:after="200" w:line="392" w:lineRule="auto"/>
        <w:rPr>
          <w:highlight w:val="white"/>
        </w:rPr>
      </w:pPr>
      <w:r>
        <w:rPr>
          <w:highlight w:val="white"/>
        </w:rPr>
        <w:t xml:space="preserve">*corresponding authors- Mathias Seviiri, </w:t>
      </w:r>
      <w:hyperlink r:id="rId6">
        <w:r>
          <w:rPr>
            <w:color w:val="1155CC"/>
            <w:highlight w:val="white"/>
            <w:u w:val="single"/>
          </w:rPr>
          <w:t>Mathias.Seviiri@qimrberghofer.edu.au</w:t>
        </w:r>
      </w:hyperlink>
      <w:r>
        <w:rPr>
          <w:highlight w:val="white"/>
        </w:rPr>
        <w:t xml:space="preserve">; and </w:t>
      </w:r>
      <w:r>
        <w:t xml:space="preserve">Matthew H. Law </w:t>
      </w:r>
      <w:hyperlink r:id="rId7">
        <w:r>
          <w:rPr>
            <w:color w:val="1155CC"/>
            <w:u w:val="single"/>
          </w:rPr>
          <w:t>matthew.law@qimrberghofer.edu.au</w:t>
        </w:r>
      </w:hyperlink>
      <w:r>
        <w:t xml:space="preserve"> </w:t>
      </w:r>
    </w:p>
    <w:p w14:paraId="21FB852C" w14:textId="5AD44BE9" w:rsidR="00A17594" w:rsidRDefault="00A17594" w:rsidP="00A17594">
      <w:pPr>
        <w:spacing w:after="200" w:line="392" w:lineRule="auto"/>
        <w:rPr>
          <w:highlight w:val="white"/>
        </w:rPr>
      </w:pPr>
      <w:r>
        <w:rPr>
          <w:b/>
          <w:highlight w:val="white"/>
        </w:rPr>
        <w:lastRenderedPageBreak/>
        <w:t xml:space="preserve">+61738453809, </w:t>
      </w:r>
      <w:r>
        <w:rPr>
          <w:highlight w:val="white"/>
        </w:rPr>
        <w:t>Statistical Genetics Lab, QIMR Berghofer Medical Research Institute, 300 Herston Road, Herston QLD 4006, Australia.</w:t>
      </w:r>
    </w:p>
    <w:p w14:paraId="1D71062F" w14:textId="1406F911" w:rsidR="00695D28" w:rsidRDefault="00695D28" w:rsidP="00A17594">
      <w:pPr>
        <w:spacing w:after="200" w:line="392" w:lineRule="auto"/>
        <w:rPr>
          <w:highlight w:val="white"/>
        </w:rPr>
      </w:pPr>
    </w:p>
    <w:p w14:paraId="5A0A7452" w14:textId="77777777" w:rsidR="00695D28" w:rsidRPr="0094041E" w:rsidRDefault="00695D28" w:rsidP="00695D28">
      <w:pPr>
        <w:spacing w:after="200" w:line="392" w:lineRule="auto"/>
        <w:rPr>
          <w:b/>
        </w:rPr>
      </w:pPr>
      <w:r w:rsidRPr="0094041E">
        <w:rPr>
          <w:b/>
        </w:rPr>
        <w:t>Email addresses</w:t>
      </w:r>
    </w:p>
    <w:p w14:paraId="5E1D5437" w14:textId="77777777" w:rsidR="00695D28" w:rsidRPr="008B5520" w:rsidRDefault="00695D28" w:rsidP="00695D28">
      <w:pPr>
        <w:spacing w:after="0" w:line="240" w:lineRule="auto"/>
        <w:rPr>
          <w:color w:val="1155CC"/>
          <w:u w:val="single"/>
          <w:lang w:val="en-US"/>
        </w:rPr>
      </w:pPr>
      <w:r w:rsidRPr="00977287">
        <w:rPr>
          <w:color w:val="000000"/>
          <w:lang w:val="en-US"/>
        </w:rPr>
        <w:t>Mathias Seviiri</w:t>
      </w:r>
      <w:r w:rsidRPr="008B5520">
        <w:rPr>
          <w:lang w:val="en-US"/>
        </w:rPr>
        <w:t xml:space="preserve"> (</w:t>
      </w:r>
      <w:hyperlink r:id="rId8" w:history="1">
        <w:r w:rsidRPr="008B5520">
          <w:rPr>
            <w:rStyle w:val="Hyperlink"/>
            <w:lang w:val="en-US"/>
          </w:rPr>
          <w:t>Mathias.Seviiri@qimrberghofer.edu.au</w:t>
        </w:r>
      </w:hyperlink>
      <w:r w:rsidRPr="008B5520">
        <w:rPr>
          <w:color w:val="1155CC"/>
          <w:u w:val="single"/>
          <w:lang w:val="en-US"/>
        </w:rPr>
        <w:t>)</w:t>
      </w:r>
    </w:p>
    <w:p w14:paraId="2634A76F" w14:textId="77777777" w:rsidR="00695D28" w:rsidRPr="00977287" w:rsidRDefault="00695D28" w:rsidP="00695D28">
      <w:pPr>
        <w:spacing w:after="0" w:line="240" w:lineRule="auto"/>
        <w:rPr>
          <w:lang w:val="en-US"/>
        </w:rPr>
      </w:pPr>
      <w:r w:rsidRPr="00977287">
        <w:rPr>
          <w:bCs/>
          <w:color w:val="000000"/>
          <w:lang w:val="en-US"/>
        </w:rPr>
        <w:t>Richard A. Scolyer</w:t>
      </w:r>
      <w:r w:rsidRPr="00977287">
        <w:rPr>
          <w:color w:val="000000"/>
          <w:lang w:val="en-US"/>
        </w:rPr>
        <w:t> </w:t>
      </w:r>
      <w:r w:rsidRPr="008B5520">
        <w:rPr>
          <w:lang w:val="en-US"/>
        </w:rPr>
        <w:t>(</w:t>
      </w:r>
      <w:hyperlink r:id="rId9" w:history="1">
        <w:r w:rsidRPr="008B5520">
          <w:rPr>
            <w:rStyle w:val="Hyperlink"/>
            <w:lang w:val="en-US"/>
          </w:rPr>
          <w:t>Richard.Scolyer@health.nsw.gov.au</w:t>
        </w:r>
      </w:hyperlink>
    </w:p>
    <w:p w14:paraId="4D0824EA" w14:textId="77777777" w:rsidR="00695D28" w:rsidRPr="008B5520" w:rsidRDefault="00695D28" w:rsidP="00695D28">
      <w:pPr>
        <w:spacing w:after="200" w:line="240" w:lineRule="auto"/>
        <w:rPr>
          <w:lang w:val="en-US"/>
        </w:rPr>
      </w:pPr>
      <w:r w:rsidRPr="00977287">
        <w:rPr>
          <w:bCs/>
          <w:color w:val="000000"/>
          <w:lang w:val="en-US"/>
        </w:rPr>
        <w:t>D. Timothy Bishop</w:t>
      </w:r>
      <w:r w:rsidRPr="008B5520">
        <w:rPr>
          <w:lang w:val="en-US"/>
        </w:rPr>
        <w:t xml:space="preserve"> (</w:t>
      </w:r>
      <w:hyperlink r:id="rId10" w:history="1">
        <w:r w:rsidRPr="008B5520">
          <w:rPr>
            <w:rStyle w:val="Hyperlink"/>
            <w:lang w:val="en-US"/>
          </w:rPr>
          <w:t>D.T.Bishop@leeds.ac.uk</w:t>
        </w:r>
      </w:hyperlink>
      <w:r w:rsidRPr="008B5520">
        <w:rPr>
          <w:color w:val="000000"/>
          <w:lang w:val="en-US"/>
        </w:rPr>
        <w:t>)</w:t>
      </w:r>
    </w:p>
    <w:p w14:paraId="4C7D0BCF" w14:textId="77777777" w:rsidR="00695D28" w:rsidRPr="00977287" w:rsidRDefault="00695D28" w:rsidP="00695D28">
      <w:pPr>
        <w:spacing w:after="200" w:line="240" w:lineRule="auto"/>
        <w:rPr>
          <w:lang w:val="en-US"/>
        </w:rPr>
      </w:pPr>
      <w:r w:rsidRPr="00977287">
        <w:rPr>
          <w:bCs/>
          <w:color w:val="000000"/>
          <w:lang w:val="en-US"/>
        </w:rPr>
        <w:t>Julia A. Newton-Bishop</w:t>
      </w:r>
      <w:r w:rsidRPr="008B5520">
        <w:rPr>
          <w:bCs/>
          <w:color w:val="000000"/>
          <w:lang w:val="en-US"/>
        </w:rPr>
        <w:t xml:space="preserve"> </w:t>
      </w:r>
      <w:r w:rsidRPr="008B5520">
        <w:rPr>
          <w:lang w:val="en-US"/>
        </w:rPr>
        <w:t>(</w:t>
      </w:r>
      <w:hyperlink r:id="rId11" w:history="1">
        <w:r w:rsidRPr="008B5520">
          <w:rPr>
            <w:rStyle w:val="Hyperlink"/>
            <w:lang w:val="en-US"/>
          </w:rPr>
          <w:t>j.a.newton-bishop@leeds.ac.uk</w:t>
        </w:r>
      </w:hyperlink>
      <w:r w:rsidRPr="008B5520">
        <w:rPr>
          <w:color w:val="1155CC"/>
          <w:u w:val="single"/>
          <w:lang w:val="en-US"/>
        </w:rPr>
        <w:t>)</w:t>
      </w:r>
      <w:r w:rsidRPr="00977287">
        <w:rPr>
          <w:color w:val="000000"/>
          <w:lang w:val="en-US"/>
        </w:rPr>
        <w:t> </w:t>
      </w:r>
    </w:p>
    <w:p w14:paraId="743AE621" w14:textId="77777777" w:rsidR="00695D28" w:rsidRPr="00977287" w:rsidRDefault="00695D28" w:rsidP="00695D28">
      <w:pPr>
        <w:spacing w:after="200" w:line="240" w:lineRule="auto"/>
        <w:rPr>
          <w:lang w:val="en-US"/>
        </w:rPr>
      </w:pPr>
      <w:r w:rsidRPr="00977287">
        <w:rPr>
          <w:bCs/>
          <w:color w:val="000000"/>
          <w:lang w:val="en-US"/>
        </w:rPr>
        <w:t>Mark M. Iles</w:t>
      </w:r>
      <w:r w:rsidRPr="00977287">
        <w:rPr>
          <w:color w:val="000000"/>
          <w:lang w:val="en-US"/>
        </w:rPr>
        <w:t> </w:t>
      </w:r>
      <w:r>
        <w:rPr>
          <w:lang w:val="en-US"/>
        </w:rPr>
        <w:t>(</w:t>
      </w:r>
      <w:hyperlink r:id="rId12" w:history="1">
        <w:r w:rsidRPr="008455B1">
          <w:rPr>
            <w:rStyle w:val="Hyperlink"/>
            <w:lang w:val="en-US"/>
          </w:rPr>
          <w:t>M.M.Iles@leeds.ac.uk</w:t>
        </w:r>
      </w:hyperlink>
      <w:r>
        <w:rPr>
          <w:color w:val="1155CC"/>
          <w:u w:val="single"/>
          <w:lang w:val="en-US"/>
        </w:rPr>
        <w:t>)</w:t>
      </w:r>
      <w:r w:rsidRPr="00977287">
        <w:rPr>
          <w:color w:val="000000"/>
          <w:lang w:val="en-US"/>
        </w:rPr>
        <w:t> </w:t>
      </w:r>
    </w:p>
    <w:p w14:paraId="129B6957" w14:textId="77777777" w:rsidR="00695D28" w:rsidRPr="00977287" w:rsidRDefault="00695D28" w:rsidP="00695D28">
      <w:pPr>
        <w:spacing w:after="200" w:line="240" w:lineRule="auto"/>
        <w:rPr>
          <w:lang w:val="en-US"/>
        </w:rPr>
      </w:pPr>
      <w:proofErr w:type="spellStart"/>
      <w:r w:rsidRPr="00977287">
        <w:rPr>
          <w:bCs/>
          <w:color w:val="000000"/>
          <w:lang w:val="en-US"/>
        </w:rPr>
        <w:t>Serigne</w:t>
      </w:r>
      <w:proofErr w:type="spellEnd"/>
      <w:r w:rsidRPr="00977287">
        <w:rPr>
          <w:bCs/>
          <w:color w:val="000000"/>
          <w:lang w:val="en-US"/>
        </w:rPr>
        <w:t xml:space="preserve"> N. Lo</w:t>
      </w:r>
      <w:r>
        <w:rPr>
          <w:bCs/>
          <w:color w:val="000000"/>
          <w:lang w:val="en-US"/>
        </w:rPr>
        <w:t xml:space="preserve"> (</w:t>
      </w:r>
      <w:hyperlink r:id="rId13" w:history="1">
        <w:r w:rsidRPr="008455B1">
          <w:rPr>
            <w:rStyle w:val="Hyperlink"/>
            <w:lang w:val="en-US"/>
          </w:rPr>
          <w:t>Serigne.Lo@melanoma.org.au</w:t>
        </w:r>
      </w:hyperlink>
      <w:r>
        <w:rPr>
          <w:color w:val="1155CC"/>
          <w:u w:val="single"/>
          <w:lang w:val="en-US"/>
        </w:rPr>
        <w:t>)</w:t>
      </w:r>
    </w:p>
    <w:p w14:paraId="6F24F110" w14:textId="77777777" w:rsidR="00695D28" w:rsidRPr="00977287" w:rsidRDefault="00695D28" w:rsidP="00695D28">
      <w:pPr>
        <w:spacing w:after="200" w:line="240" w:lineRule="auto"/>
        <w:rPr>
          <w:lang w:val="en-US"/>
        </w:rPr>
      </w:pPr>
      <w:r w:rsidRPr="00977287">
        <w:rPr>
          <w:bCs/>
          <w:color w:val="000000"/>
          <w:lang w:val="en-US"/>
        </w:rPr>
        <w:t>Johnathan R. Stretch</w:t>
      </w:r>
      <w:r>
        <w:rPr>
          <w:bCs/>
          <w:color w:val="000000"/>
          <w:lang w:val="en-US"/>
        </w:rPr>
        <w:t xml:space="preserve"> </w:t>
      </w:r>
      <w:r>
        <w:rPr>
          <w:lang w:val="en-US"/>
        </w:rPr>
        <w:t>(</w:t>
      </w:r>
      <w:hyperlink r:id="rId14" w:history="1">
        <w:r w:rsidRPr="008455B1">
          <w:rPr>
            <w:rStyle w:val="Hyperlink"/>
            <w:bCs/>
            <w:lang w:val="en-US"/>
          </w:rPr>
          <w:t>jonathan.stretch@melanoma.org.au</w:t>
        </w:r>
      </w:hyperlink>
      <w:r>
        <w:rPr>
          <w:bCs/>
          <w:color w:val="1155CC"/>
          <w:u w:val="single"/>
          <w:lang w:val="en-US"/>
        </w:rPr>
        <w:t>)</w:t>
      </w:r>
      <w:r w:rsidRPr="00977287">
        <w:rPr>
          <w:bCs/>
          <w:color w:val="800080"/>
          <w:lang w:val="en-US"/>
        </w:rPr>
        <w:t> </w:t>
      </w:r>
    </w:p>
    <w:p w14:paraId="7740F76F" w14:textId="77777777" w:rsidR="00695D28" w:rsidRPr="00977287" w:rsidRDefault="00695D28" w:rsidP="00695D28">
      <w:pPr>
        <w:spacing w:after="200" w:line="240" w:lineRule="auto"/>
        <w:rPr>
          <w:lang w:val="en-US"/>
        </w:rPr>
      </w:pPr>
      <w:r w:rsidRPr="00977287">
        <w:rPr>
          <w:bCs/>
          <w:color w:val="000000"/>
          <w:lang w:val="en-US"/>
        </w:rPr>
        <w:t>Robyn P.M. Saw</w:t>
      </w:r>
      <w:r>
        <w:rPr>
          <w:lang w:val="en-US"/>
        </w:rPr>
        <w:t xml:space="preserve"> (</w:t>
      </w:r>
      <w:hyperlink r:id="rId15" w:history="1">
        <w:r w:rsidRPr="008455B1">
          <w:rPr>
            <w:rStyle w:val="Hyperlink"/>
            <w:bCs/>
            <w:lang w:val="en-US"/>
          </w:rPr>
          <w:t>robyn.saw@melanoma.org.au</w:t>
        </w:r>
      </w:hyperlink>
      <w:r>
        <w:rPr>
          <w:bCs/>
          <w:color w:val="1155CC"/>
          <w:u w:val="single"/>
          <w:lang w:val="en-US"/>
        </w:rPr>
        <w:t>)</w:t>
      </w:r>
    </w:p>
    <w:p w14:paraId="12614AA6" w14:textId="77777777" w:rsidR="00695D28" w:rsidRPr="00977287" w:rsidRDefault="00695D28" w:rsidP="00695D28">
      <w:pPr>
        <w:spacing w:after="200" w:line="240" w:lineRule="auto"/>
        <w:rPr>
          <w:lang w:val="en-US"/>
        </w:rPr>
      </w:pPr>
      <w:proofErr w:type="spellStart"/>
      <w:r w:rsidRPr="00977287">
        <w:rPr>
          <w:bCs/>
          <w:color w:val="000000"/>
          <w:lang w:val="en-US"/>
        </w:rPr>
        <w:t>Omgo</w:t>
      </w:r>
      <w:proofErr w:type="spellEnd"/>
      <w:r w:rsidRPr="00977287">
        <w:rPr>
          <w:bCs/>
          <w:color w:val="000000"/>
          <w:lang w:val="en-US"/>
        </w:rPr>
        <w:t xml:space="preserve"> E. </w:t>
      </w:r>
      <w:proofErr w:type="spellStart"/>
      <w:r w:rsidRPr="00977287">
        <w:rPr>
          <w:bCs/>
          <w:color w:val="000000"/>
          <w:lang w:val="en-US"/>
        </w:rPr>
        <w:t>Nieweg</w:t>
      </w:r>
      <w:proofErr w:type="spellEnd"/>
      <w:r>
        <w:rPr>
          <w:bCs/>
          <w:color w:val="000000"/>
          <w:lang w:val="en-US"/>
        </w:rPr>
        <w:t xml:space="preserve"> </w:t>
      </w:r>
      <w:r>
        <w:rPr>
          <w:lang w:val="en-US"/>
        </w:rPr>
        <w:t>(</w:t>
      </w:r>
      <w:hyperlink r:id="rId16" w:history="1">
        <w:r w:rsidRPr="008455B1">
          <w:rPr>
            <w:rStyle w:val="Hyperlink"/>
            <w:bCs/>
            <w:lang w:val="en-US"/>
          </w:rPr>
          <w:t>omgo.nieweg@melanoma.org.au</w:t>
        </w:r>
      </w:hyperlink>
      <w:r>
        <w:rPr>
          <w:bCs/>
          <w:color w:val="1155CC"/>
          <w:u w:val="single"/>
          <w:lang w:val="en-US"/>
        </w:rPr>
        <w:t>)</w:t>
      </w:r>
    </w:p>
    <w:p w14:paraId="39797661" w14:textId="77777777" w:rsidR="00695D28" w:rsidRPr="00977287" w:rsidRDefault="00695D28" w:rsidP="00695D28">
      <w:pPr>
        <w:spacing w:after="200" w:line="240" w:lineRule="auto"/>
        <w:rPr>
          <w:lang w:val="en-US"/>
        </w:rPr>
      </w:pPr>
      <w:proofErr w:type="spellStart"/>
      <w:r w:rsidRPr="00977287">
        <w:rPr>
          <w:bCs/>
          <w:color w:val="000000"/>
          <w:lang w:val="en-US"/>
        </w:rPr>
        <w:t>Kerwin</w:t>
      </w:r>
      <w:proofErr w:type="spellEnd"/>
      <w:r w:rsidRPr="00977287">
        <w:rPr>
          <w:bCs/>
          <w:color w:val="000000"/>
          <w:lang w:val="en-US"/>
        </w:rPr>
        <w:t xml:space="preserve"> F. Shannon</w:t>
      </w:r>
      <w:r>
        <w:rPr>
          <w:lang w:val="en-US"/>
        </w:rPr>
        <w:t xml:space="preserve"> (</w:t>
      </w:r>
      <w:hyperlink r:id="rId17" w:history="1">
        <w:r w:rsidRPr="008455B1">
          <w:rPr>
            <w:rStyle w:val="Hyperlink"/>
            <w:bCs/>
            <w:lang w:val="en-US"/>
          </w:rPr>
          <w:t>kerwin.shannon@melanoma.org.au</w:t>
        </w:r>
      </w:hyperlink>
      <w:r>
        <w:rPr>
          <w:bCs/>
          <w:color w:val="1155CC"/>
          <w:u w:val="single"/>
          <w:lang w:val="en-US"/>
        </w:rPr>
        <w:t>)</w:t>
      </w:r>
    </w:p>
    <w:p w14:paraId="03BF4A4C" w14:textId="77777777" w:rsidR="00695D28" w:rsidRPr="00977287" w:rsidRDefault="00695D28" w:rsidP="00695D28">
      <w:pPr>
        <w:spacing w:after="200" w:line="240" w:lineRule="auto"/>
        <w:rPr>
          <w:lang w:val="en-US"/>
        </w:rPr>
      </w:pPr>
      <w:r w:rsidRPr="00977287">
        <w:rPr>
          <w:bCs/>
          <w:color w:val="000000"/>
          <w:lang w:val="en-US"/>
        </w:rPr>
        <w:t>Andrew J. Spillane</w:t>
      </w:r>
      <w:r>
        <w:rPr>
          <w:bCs/>
          <w:color w:val="000000"/>
          <w:lang w:val="en-US"/>
        </w:rPr>
        <w:t xml:space="preserve"> </w:t>
      </w:r>
      <w:r>
        <w:rPr>
          <w:lang w:val="en-US"/>
        </w:rPr>
        <w:t>(</w:t>
      </w:r>
      <w:hyperlink r:id="rId18" w:history="1">
        <w:r w:rsidRPr="008455B1">
          <w:rPr>
            <w:rStyle w:val="Hyperlink"/>
            <w:bCs/>
            <w:lang w:val="en-US"/>
          </w:rPr>
          <w:t>andrew.spillane@melanoma.org.au</w:t>
        </w:r>
      </w:hyperlink>
      <w:r>
        <w:rPr>
          <w:bCs/>
          <w:color w:val="1155CC"/>
          <w:u w:val="single"/>
          <w:lang w:val="en-US"/>
        </w:rPr>
        <w:t>)</w:t>
      </w:r>
    </w:p>
    <w:p w14:paraId="5C91FE07" w14:textId="77777777" w:rsidR="00695D28" w:rsidRPr="00977287" w:rsidRDefault="00695D28" w:rsidP="00695D28">
      <w:pPr>
        <w:spacing w:after="200" w:line="240" w:lineRule="auto"/>
        <w:rPr>
          <w:lang w:val="en-US"/>
        </w:rPr>
      </w:pPr>
      <w:r w:rsidRPr="00977287">
        <w:rPr>
          <w:bCs/>
          <w:color w:val="000000"/>
          <w:lang w:val="en-US"/>
        </w:rPr>
        <w:t>Scott D. Gordon</w:t>
      </w:r>
      <w:r>
        <w:rPr>
          <w:lang w:val="en-US"/>
        </w:rPr>
        <w:t xml:space="preserve"> (</w:t>
      </w:r>
      <w:hyperlink r:id="rId19" w:history="1">
        <w:r w:rsidRPr="008455B1">
          <w:rPr>
            <w:rStyle w:val="Hyperlink"/>
            <w:lang w:val="en-US"/>
          </w:rPr>
          <w:t>Scott.Gordon@qimrberghofer.edu.au</w:t>
        </w:r>
      </w:hyperlink>
      <w:r>
        <w:rPr>
          <w:color w:val="1155CC"/>
          <w:u w:val="single"/>
          <w:lang w:val="en-US"/>
        </w:rPr>
        <w:t>)</w:t>
      </w:r>
    </w:p>
    <w:p w14:paraId="67CB4A20" w14:textId="77777777" w:rsidR="00695D28" w:rsidRPr="00977287" w:rsidRDefault="00695D28" w:rsidP="00695D28">
      <w:pPr>
        <w:spacing w:after="200" w:line="240" w:lineRule="auto"/>
        <w:rPr>
          <w:lang w:val="en-US"/>
        </w:rPr>
      </w:pPr>
      <w:r w:rsidRPr="00977287">
        <w:rPr>
          <w:bCs/>
          <w:color w:val="000000"/>
          <w:lang w:val="en-US"/>
        </w:rPr>
        <w:t>Catherine M. Olsen</w:t>
      </w:r>
      <w:r>
        <w:rPr>
          <w:lang w:val="en-US"/>
        </w:rPr>
        <w:t xml:space="preserve"> (</w:t>
      </w:r>
      <w:hyperlink r:id="rId20" w:history="1">
        <w:r w:rsidRPr="008455B1">
          <w:rPr>
            <w:rStyle w:val="Hyperlink"/>
            <w:lang w:val="en-US"/>
          </w:rPr>
          <w:t>Catherine.Olsen@qimrberghofer.edu.au</w:t>
        </w:r>
      </w:hyperlink>
      <w:r>
        <w:rPr>
          <w:color w:val="1155CC"/>
          <w:u w:val="single"/>
          <w:lang w:val="en-US"/>
        </w:rPr>
        <w:t>)</w:t>
      </w:r>
    </w:p>
    <w:p w14:paraId="7CE7A9ED" w14:textId="77777777" w:rsidR="00695D28" w:rsidRPr="00977287" w:rsidRDefault="00695D28" w:rsidP="00695D28">
      <w:pPr>
        <w:spacing w:after="200" w:line="240" w:lineRule="auto"/>
        <w:rPr>
          <w:lang w:val="en-US"/>
        </w:rPr>
      </w:pPr>
      <w:r w:rsidRPr="00977287">
        <w:rPr>
          <w:bCs/>
          <w:color w:val="000000"/>
          <w:lang w:val="en-US"/>
        </w:rPr>
        <w:t>David C. Whiteman </w:t>
      </w:r>
      <w:r>
        <w:rPr>
          <w:lang w:val="en-US"/>
        </w:rPr>
        <w:t>(</w:t>
      </w:r>
      <w:hyperlink r:id="rId21" w:history="1">
        <w:r w:rsidRPr="008455B1">
          <w:rPr>
            <w:rStyle w:val="Hyperlink"/>
            <w:bCs/>
            <w:lang w:val="en-US"/>
          </w:rPr>
          <w:t>David.Whiteman@qimrberghofer.edu.au</w:t>
        </w:r>
      </w:hyperlink>
      <w:r>
        <w:rPr>
          <w:bCs/>
          <w:color w:val="1155CC"/>
          <w:u w:val="single"/>
          <w:lang w:val="en-US"/>
        </w:rPr>
        <w:t>)</w:t>
      </w:r>
    </w:p>
    <w:p w14:paraId="5E6EF669" w14:textId="77777777" w:rsidR="00695D28" w:rsidRPr="00977287" w:rsidRDefault="00695D28" w:rsidP="00695D28">
      <w:pPr>
        <w:spacing w:after="200" w:line="240" w:lineRule="auto"/>
        <w:rPr>
          <w:lang w:val="en-US"/>
        </w:rPr>
      </w:pPr>
      <w:r w:rsidRPr="00977287">
        <w:rPr>
          <w:bCs/>
          <w:color w:val="000000"/>
          <w:lang w:val="en-US"/>
        </w:rPr>
        <w:t>Maria T</w:t>
      </w:r>
      <w:r>
        <w:rPr>
          <w:bCs/>
          <w:color w:val="000000"/>
          <w:lang w:val="en-US"/>
        </w:rPr>
        <w:t>eresa</w:t>
      </w:r>
      <w:r w:rsidRPr="00977287">
        <w:rPr>
          <w:bCs/>
          <w:color w:val="000000"/>
          <w:lang w:val="en-US"/>
        </w:rPr>
        <w:t xml:space="preserve"> Landi </w:t>
      </w:r>
      <w:r>
        <w:rPr>
          <w:lang w:val="en-US"/>
        </w:rPr>
        <w:t>(</w:t>
      </w:r>
      <w:hyperlink r:id="rId22" w:history="1">
        <w:r w:rsidRPr="008455B1">
          <w:rPr>
            <w:rStyle w:val="Hyperlink"/>
            <w:lang w:val="en-US"/>
          </w:rPr>
          <w:t>landim@mail.nih.gov</w:t>
        </w:r>
      </w:hyperlink>
      <w:r>
        <w:rPr>
          <w:color w:val="1155CC"/>
          <w:u w:val="single"/>
          <w:lang w:val="en-US"/>
        </w:rPr>
        <w:t>)</w:t>
      </w:r>
    </w:p>
    <w:p w14:paraId="61F00A29" w14:textId="77777777" w:rsidR="00695D28" w:rsidRPr="00977287" w:rsidRDefault="00695D28" w:rsidP="00695D28">
      <w:pPr>
        <w:spacing w:after="200" w:line="240" w:lineRule="auto"/>
        <w:rPr>
          <w:lang w:val="en-US"/>
        </w:rPr>
      </w:pPr>
      <w:r w:rsidRPr="00977287">
        <w:rPr>
          <w:bCs/>
          <w:color w:val="000000"/>
          <w:lang w:val="en-US"/>
        </w:rPr>
        <w:t>John F. Thompson</w:t>
      </w:r>
      <w:r w:rsidRPr="00977287">
        <w:rPr>
          <w:color w:val="000000"/>
          <w:lang w:val="en-US"/>
        </w:rPr>
        <w:t> </w:t>
      </w:r>
      <w:r>
        <w:rPr>
          <w:lang w:val="en-US"/>
        </w:rPr>
        <w:t>(</w:t>
      </w:r>
      <w:hyperlink r:id="rId23" w:history="1">
        <w:r w:rsidRPr="008455B1">
          <w:rPr>
            <w:rStyle w:val="Hyperlink"/>
            <w:lang w:val="en-US"/>
          </w:rPr>
          <w:t>John.Thompson@melanoma.org.au</w:t>
        </w:r>
      </w:hyperlink>
      <w:r>
        <w:rPr>
          <w:color w:val="1155CC"/>
          <w:u w:val="single"/>
          <w:lang w:val="en-US"/>
        </w:rPr>
        <w:t>)</w:t>
      </w:r>
    </w:p>
    <w:p w14:paraId="50C2B5F0" w14:textId="77777777" w:rsidR="00695D28" w:rsidRPr="00977287" w:rsidRDefault="00695D28" w:rsidP="00695D28">
      <w:pPr>
        <w:spacing w:after="200" w:line="240" w:lineRule="auto"/>
        <w:rPr>
          <w:lang w:val="en-US"/>
        </w:rPr>
      </w:pPr>
      <w:r w:rsidRPr="00977287">
        <w:rPr>
          <w:bCs/>
          <w:color w:val="000000"/>
          <w:lang w:val="en-US"/>
        </w:rPr>
        <w:t>Georgina V. Long </w:t>
      </w:r>
      <w:r>
        <w:rPr>
          <w:lang w:val="en-US"/>
        </w:rPr>
        <w:t>(</w:t>
      </w:r>
      <w:hyperlink r:id="rId24" w:history="1">
        <w:r w:rsidRPr="008455B1">
          <w:rPr>
            <w:rStyle w:val="Hyperlink"/>
            <w:lang w:val="en-US"/>
          </w:rPr>
          <w:t>georgina.long@sydney.edu.au</w:t>
        </w:r>
      </w:hyperlink>
      <w:r>
        <w:rPr>
          <w:color w:val="1155CC"/>
          <w:u w:val="single"/>
          <w:lang w:val="en-US"/>
        </w:rPr>
        <w:t>)</w:t>
      </w:r>
      <w:r w:rsidRPr="00977287">
        <w:rPr>
          <w:color w:val="000000"/>
          <w:lang w:val="en-US"/>
        </w:rPr>
        <w:t> </w:t>
      </w:r>
    </w:p>
    <w:p w14:paraId="58CA995E" w14:textId="77777777" w:rsidR="00695D28" w:rsidRPr="00977287" w:rsidRDefault="00695D28" w:rsidP="00695D28">
      <w:pPr>
        <w:spacing w:after="200" w:line="240" w:lineRule="auto"/>
        <w:rPr>
          <w:lang w:val="en-US"/>
        </w:rPr>
      </w:pPr>
      <w:r w:rsidRPr="00977287">
        <w:rPr>
          <w:bCs/>
          <w:color w:val="000000"/>
          <w:lang w:val="en-US"/>
        </w:rPr>
        <w:t>Stuart MacGregor </w:t>
      </w:r>
      <w:r>
        <w:rPr>
          <w:lang w:val="en-US"/>
        </w:rPr>
        <w:t>(</w:t>
      </w:r>
      <w:hyperlink r:id="rId25" w:history="1">
        <w:r w:rsidRPr="008455B1">
          <w:rPr>
            <w:rStyle w:val="Hyperlink"/>
            <w:lang w:val="en-US"/>
          </w:rPr>
          <w:t>Stuart.MacGregor@qimrberghofer.edu.au</w:t>
        </w:r>
      </w:hyperlink>
      <w:r>
        <w:rPr>
          <w:color w:val="1155CC"/>
          <w:u w:val="single"/>
          <w:lang w:val="en-US"/>
        </w:rPr>
        <w:t>)</w:t>
      </w:r>
    </w:p>
    <w:p w14:paraId="6A8DB94B" w14:textId="67DDE8A7" w:rsidR="00695D28" w:rsidRDefault="00695D28" w:rsidP="00695D28">
      <w:pPr>
        <w:spacing w:after="200" w:line="392" w:lineRule="auto"/>
        <w:rPr>
          <w:color w:val="1155CC"/>
          <w:u w:val="single"/>
          <w:lang w:val="en-US"/>
        </w:rPr>
      </w:pPr>
      <w:r w:rsidRPr="00977287">
        <w:rPr>
          <w:bCs/>
          <w:color w:val="000000"/>
          <w:lang w:val="en-US"/>
        </w:rPr>
        <w:t>Matthew H. Law </w:t>
      </w:r>
      <w:r>
        <w:rPr>
          <w:lang w:val="en-US"/>
        </w:rPr>
        <w:t>(</w:t>
      </w:r>
      <w:hyperlink r:id="rId26" w:history="1">
        <w:r w:rsidRPr="008455B1">
          <w:rPr>
            <w:rStyle w:val="Hyperlink"/>
            <w:lang w:val="en-US"/>
          </w:rPr>
          <w:t>Matthew.Law@qimrberghofer.edu.au</w:t>
        </w:r>
      </w:hyperlink>
    </w:p>
    <w:p w14:paraId="473341AF" w14:textId="146BA973" w:rsidR="00695D28" w:rsidRDefault="00695D28" w:rsidP="00695D28">
      <w:pPr>
        <w:spacing w:after="200" w:line="392" w:lineRule="auto"/>
        <w:rPr>
          <w:highlight w:val="white"/>
        </w:rPr>
      </w:pPr>
    </w:p>
    <w:p w14:paraId="01505036" w14:textId="0121DA46" w:rsidR="00695D28" w:rsidRDefault="00695D28" w:rsidP="00695D28">
      <w:pPr>
        <w:spacing w:after="200" w:line="392" w:lineRule="auto"/>
        <w:rPr>
          <w:highlight w:val="white"/>
        </w:rPr>
      </w:pPr>
    </w:p>
    <w:p w14:paraId="0ABF5AD1" w14:textId="6A0BC96B" w:rsidR="00695D28" w:rsidRDefault="00695D28" w:rsidP="00695D28">
      <w:pPr>
        <w:spacing w:after="200" w:line="392" w:lineRule="auto"/>
        <w:rPr>
          <w:highlight w:val="white"/>
        </w:rPr>
      </w:pPr>
    </w:p>
    <w:p w14:paraId="613AF5FE" w14:textId="2DFBF621" w:rsidR="00695D28" w:rsidRDefault="00695D28" w:rsidP="00695D28">
      <w:pPr>
        <w:spacing w:after="200" w:line="392" w:lineRule="auto"/>
        <w:rPr>
          <w:highlight w:val="white"/>
        </w:rPr>
      </w:pPr>
    </w:p>
    <w:p w14:paraId="361E1632" w14:textId="3B465D92" w:rsidR="00695D28" w:rsidRDefault="00695D28" w:rsidP="00695D28">
      <w:pPr>
        <w:spacing w:after="200" w:line="392" w:lineRule="auto"/>
        <w:rPr>
          <w:highlight w:val="white"/>
        </w:rPr>
      </w:pPr>
    </w:p>
    <w:p w14:paraId="158088FA" w14:textId="7F13979D" w:rsidR="00695D28" w:rsidRDefault="00695D28" w:rsidP="00695D28">
      <w:pPr>
        <w:spacing w:after="200" w:line="392" w:lineRule="auto"/>
        <w:rPr>
          <w:highlight w:val="white"/>
        </w:rPr>
      </w:pPr>
    </w:p>
    <w:p w14:paraId="2DAC561A" w14:textId="77777777" w:rsidR="00695D28" w:rsidRDefault="00695D28" w:rsidP="00695D28">
      <w:pPr>
        <w:spacing w:after="200" w:line="392" w:lineRule="auto"/>
        <w:rPr>
          <w:highlight w:val="white"/>
        </w:rPr>
      </w:pPr>
    </w:p>
    <w:p w14:paraId="403F2201" w14:textId="77777777" w:rsidR="00801D22" w:rsidRDefault="00FE4B90">
      <w:pPr>
        <w:pStyle w:val="Heading1"/>
        <w:rPr>
          <w:highlight w:val="yellow"/>
        </w:rPr>
      </w:pPr>
      <w:r>
        <w:rPr>
          <w:sz w:val="28"/>
          <w:szCs w:val="28"/>
        </w:rPr>
        <w:t>Supplementary Methods</w:t>
      </w:r>
    </w:p>
    <w:p w14:paraId="51085375" w14:textId="77777777" w:rsidR="00801D22" w:rsidRDefault="00FE4B90">
      <w:pPr>
        <w:spacing w:after="200"/>
        <w:rPr>
          <w:b/>
          <w:sz w:val="26"/>
          <w:szCs w:val="26"/>
        </w:rPr>
      </w:pPr>
      <w:r>
        <w:rPr>
          <w:b/>
          <w:sz w:val="26"/>
          <w:szCs w:val="26"/>
        </w:rPr>
        <w:t xml:space="preserve">Exclusion of genetic variants associated with pigmentation and </w:t>
      </w:r>
      <w:proofErr w:type="spellStart"/>
      <w:r>
        <w:rPr>
          <w:b/>
          <w:sz w:val="26"/>
          <w:szCs w:val="26"/>
        </w:rPr>
        <w:t>naevus</w:t>
      </w:r>
      <w:proofErr w:type="spellEnd"/>
      <w:r>
        <w:rPr>
          <w:b/>
          <w:sz w:val="26"/>
          <w:szCs w:val="26"/>
        </w:rPr>
        <w:t xml:space="preserve"> pathway loci</w:t>
      </w:r>
    </w:p>
    <w:p w14:paraId="47769A34" w14:textId="0E2500DD" w:rsidR="00801D22" w:rsidRDefault="00FE4B90">
      <w:pPr>
        <w:spacing w:after="200"/>
      </w:pPr>
      <w:r w:rsidRPr="0086737B">
        <w:t xml:space="preserve">Pigmentation and </w:t>
      </w:r>
      <w:proofErr w:type="spellStart"/>
      <w:r w:rsidRPr="0086737B">
        <w:t>naevus</w:t>
      </w:r>
      <w:proofErr w:type="spellEnd"/>
      <w:r w:rsidRPr="0086737B">
        <w:t xml:space="preserve"> count loci are major biological pathways for CM</w:t>
      </w:r>
      <w:r w:rsidR="0086737B">
        <w:t>-</w:t>
      </w:r>
      <w:r w:rsidRPr="0086737B">
        <w:t xml:space="preserve">susceptibility </w:t>
      </w:r>
      <w:hyperlink r:id="rId27">
        <w:r w:rsidRPr="0086737B">
          <w:rPr>
            <w:color w:val="000000"/>
          </w:rPr>
          <w:t>(Duffy et al. 2018; Landi et al. 2020)</w:t>
        </w:r>
      </w:hyperlink>
      <w:r w:rsidRPr="0086737B">
        <w:t xml:space="preserve">. We further explored whether any </w:t>
      </w:r>
      <w:r w:rsidRPr="0086737B">
        <w:rPr>
          <w:color w:val="333333"/>
        </w:rPr>
        <w:t>PRS_susceptibility</w:t>
      </w:r>
      <w:r w:rsidRPr="0086737B">
        <w:t xml:space="preserve"> and MSS association was driven by genetic variation associated with pigmentation and/or </w:t>
      </w:r>
      <w:proofErr w:type="spellStart"/>
      <w:r w:rsidRPr="0086737B">
        <w:t>naevi</w:t>
      </w:r>
      <w:proofErr w:type="spellEnd"/>
      <w:r w:rsidRPr="0086737B">
        <w:t xml:space="preserve"> pathways. Using the previously published CM GWAS (Landi 2020), we identified both pigmentation and </w:t>
      </w:r>
      <w:proofErr w:type="spellStart"/>
      <w:r w:rsidRPr="0086737B">
        <w:t>naevus</w:t>
      </w:r>
      <w:proofErr w:type="spellEnd"/>
      <w:r w:rsidRPr="0086737B">
        <w:t xml:space="preserve"> count loci and removed SNPs from the </w:t>
      </w:r>
      <w:r w:rsidRPr="0086737B">
        <w:rPr>
          <w:color w:val="333333"/>
        </w:rPr>
        <w:t>PRS_susceptibility</w:t>
      </w:r>
      <w:r w:rsidRPr="0086737B">
        <w:t xml:space="preserve"> within +/- 0.50 </w:t>
      </w:r>
      <w:proofErr w:type="spellStart"/>
      <w:r w:rsidRPr="0086737B">
        <w:t>megabase</w:t>
      </w:r>
      <w:proofErr w:type="spellEnd"/>
      <w:r w:rsidRPr="0086737B">
        <w:t xml:space="preserve"> (</w:t>
      </w:r>
      <w:proofErr w:type="spellStart"/>
      <w:r w:rsidRPr="0086737B">
        <w:t>mb</w:t>
      </w:r>
      <w:proofErr w:type="spellEnd"/>
      <w:r w:rsidRPr="0086737B">
        <w:t>) for each lead SNP for pigmentation (</w:t>
      </w:r>
      <w:r w:rsidRPr="0086737B">
        <w:rPr>
          <w:b/>
        </w:rPr>
        <w:t>Supplementary Table 3</w:t>
      </w:r>
      <w:r w:rsidR="00B85068" w:rsidRPr="0086737B">
        <w:t xml:space="preserve">) </w:t>
      </w:r>
      <w:r w:rsidRPr="0086737B">
        <w:t xml:space="preserve">and </w:t>
      </w:r>
      <w:proofErr w:type="spellStart"/>
      <w:r w:rsidRPr="0086737B">
        <w:t>naev</w:t>
      </w:r>
      <w:r w:rsidRPr="00CB3611">
        <w:t>i</w:t>
      </w:r>
      <w:proofErr w:type="spellEnd"/>
      <w:r w:rsidRPr="00CB3611">
        <w:t xml:space="preserve"> (</w:t>
      </w:r>
      <w:r w:rsidRPr="00CB3611">
        <w:rPr>
          <w:b/>
        </w:rPr>
        <w:t>Supplementary Table 4</w:t>
      </w:r>
      <w:r w:rsidR="00B85068" w:rsidRPr="00CB3611">
        <w:rPr>
          <w:b/>
        </w:rPr>
        <w:t>)</w:t>
      </w:r>
      <w:r w:rsidR="00B85068" w:rsidRPr="00CB3611">
        <w:t xml:space="preserve">. </w:t>
      </w:r>
      <w:r w:rsidRPr="00CB3611">
        <w:t>In addition, for loci in regions with long-range LD</w:t>
      </w:r>
      <w:r>
        <w:t xml:space="preserve"> we excluded wider windows including </w:t>
      </w:r>
      <w:r>
        <w:rPr>
          <w:i/>
        </w:rPr>
        <w:t>MC1R</w:t>
      </w:r>
      <w:r>
        <w:t xml:space="preserve"> on chromosome 16 (87-90.3 </w:t>
      </w:r>
      <w:proofErr w:type="spellStart"/>
      <w:r>
        <w:t>megabases</w:t>
      </w:r>
      <w:proofErr w:type="spellEnd"/>
      <w:r>
        <w:t xml:space="preserve">), </w:t>
      </w:r>
      <w:r>
        <w:rPr>
          <w:i/>
        </w:rPr>
        <w:t>ASIP</w:t>
      </w:r>
      <w:r>
        <w:t xml:space="preserve"> on chromosome 20 (30-36 </w:t>
      </w:r>
      <w:proofErr w:type="spellStart"/>
      <w:r>
        <w:t>megabases</w:t>
      </w:r>
      <w:proofErr w:type="spellEnd"/>
      <w:r>
        <w:t xml:space="preserve">), and </w:t>
      </w:r>
      <w:r>
        <w:rPr>
          <w:i/>
        </w:rPr>
        <w:t>CDKN2A</w:t>
      </w:r>
      <w:r>
        <w:t xml:space="preserve"> on chromosome 9 (1 </w:t>
      </w:r>
      <w:proofErr w:type="spellStart"/>
      <w:r>
        <w:t>megabase</w:t>
      </w:r>
      <w:proofErr w:type="spellEnd"/>
      <w:r>
        <w:t xml:space="preserve"> either side of rs871024).</w:t>
      </w:r>
    </w:p>
    <w:p w14:paraId="2C06898B" w14:textId="77777777" w:rsidR="00801D22" w:rsidRDefault="00801D22">
      <w:pPr>
        <w:spacing w:after="200"/>
      </w:pPr>
    </w:p>
    <w:p w14:paraId="11D76C5F" w14:textId="53F88125" w:rsidR="00801D22" w:rsidRDefault="00FE4B90">
      <w:pPr>
        <w:spacing w:after="200"/>
      </w:pPr>
      <w:r>
        <w:t>Using this information</w:t>
      </w:r>
      <w:r w:rsidR="00BE743B">
        <w:t>,</w:t>
      </w:r>
      <w:r>
        <w:t xml:space="preserve"> we generated two additional </w:t>
      </w:r>
      <w:r w:rsidRPr="0086737B">
        <w:rPr>
          <w:color w:val="333333"/>
        </w:rPr>
        <w:t>PRS_susceptibility</w:t>
      </w:r>
      <w:r>
        <w:t xml:space="preserve"> models; one excluding the SNPs in the pigmentation pathway (</w:t>
      </w:r>
      <w:proofErr w:type="spellStart"/>
      <w:r>
        <w:t>PRS</w:t>
      </w:r>
      <w:r>
        <w:rPr>
          <w:vertAlign w:val="subscript"/>
        </w:rPr>
        <w:t>CMexP</w:t>
      </w:r>
      <w:proofErr w:type="spellEnd"/>
      <w:r>
        <w:t xml:space="preserve">) and another excluding the loci in the </w:t>
      </w:r>
      <w:proofErr w:type="spellStart"/>
      <w:r>
        <w:t>naevus</w:t>
      </w:r>
      <w:proofErr w:type="spellEnd"/>
      <w:r>
        <w:t xml:space="preserve"> pathway (</w:t>
      </w:r>
      <w:proofErr w:type="spellStart"/>
      <w:r>
        <w:t>PRS</w:t>
      </w:r>
      <w:r>
        <w:rPr>
          <w:vertAlign w:val="subscript"/>
        </w:rPr>
        <w:t>CMexN</w:t>
      </w:r>
      <w:proofErr w:type="spellEnd"/>
      <w:r>
        <w:t>). First, we assessed whether new PRS models were still associated with melanoma risk using QSkin data and adjusting for covariates as before (i</w:t>
      </w:r>
      <w:r w:rsidR="00B85068">
        <w:t>.</w:t>
      </w:r>
      <w:r>
        <w:t>e</w:t>
      </w:r>
      <w:r w:rsidR="00B85068">
        <w:t xml:space="preserve">.  </w:t>
      </w:r>
      <w:r>
        <w:t xml:space="preserve">CM risk ~ </w:t>
      </w:r>
      <w:proofErr w:type="spellStart"/>
      <w:r>
        <w:t>PRS</w:t>
      </w:r>
      <w:r>
        <w:rPr>
          <w:vertAlign w:val="subscript"/>
        </w:rPr>
        <w:t>CMexP</w:t>
      </w:r>
      <w:proofErr w:type="spellEnd"/>
      <w:r>
        <w:t xml:space="preserve"> or </w:t>
      </w:r>
      <w:proofErr w:type="spellStart"/>
      <w:r>
        <w:t>PRS</w:t>
      </w:r>
      <w:r>
        <w:rPr>
          <w:vertAlign w:val="subscript"/>
        </w:rPr>
        <w:t>CMexN</w:t>
      </w:r>
      <w:proofErr w:type="spellEnd"/>
      <w:r>
        <w:t xml:space="preserve"> + age + sex +10 PCs) (</w:t>
      </w:r>
      <w:r>
        <w:rPr>
          <w:b/>
        </w:rPr>
        <w:t>Supplementary Figure 3</w:t>
      </w:r>
      <w:r>
        <w:t xml:space="preserve">). Second, we explored if </w:t>
      </w:r>
      <w:proofErr w:type="spellStart"/>
      <w:r>
        <w:t>PRS</w:t>
      </w:r>
      <w:r>
        <w:rPr>
          <w:vertAlign w:val="subscript"/>
        </w:rPr>
        <w:t>CMexP</w:t>
      </w:r>
      <w:proofErr w:type="spellEnd"/>
      <w:r>
        <w:t xml:space="preserve"> and (</w:t>
      </w:r>
      <w:proofErr w:type="spellStart"/>
      <w:r>
        <w:t>PRS</w:t>
      </w:r>
      <w:r>
        <w:rPr>
          <w:vertAlign w:val="subscript"/>
        </w:rPr>
        <w:t>CMexN</w:t>
      </w:r>
      <w:proofErr w:type="spellEnd"/>
      <w:r>
        <w:t xml:space="preserve"> were associated with MSS in both MIA and UKB (</w:t>
      </w:r>
      <w:r>
        <w:rPr>
          <w:b/>
        </w:rPr>
        <w:t>Results</w:t>
      </w:r>
      <w:r>
        <w:t>). Third, as previously (in the</w:t>
      </w:r>
      <w:r>
        <w:rPr>
          <w:b/>
        </w:rPr>
        <w:t xml:space="preserve"> Methods</w:t>
      </w:r>
      <w:r>
        <w:t>) the resulting HRs were combined by meta-analysis (</w:t>
      </w:r>
      <w:r>
        <w:rPr>
          <w:b/>
        </w:rPr>
        <w:t>Results; Figure 2</w:t>
      </w:r>
      <w:r>
        <w:t>).</w:t>
      </w:r>
    </w:p>
    <w:p w14:paraId="106527F2" w14:textId="77777777" w:rsidR="00801D22" w:rsidRDefault="00801D22">
      <w:pPr>
        <w:rPr>
          <w:highlight w:val="yellow"/>
        </w:rPr>
      </w:pPr>
    </w:p>
    <w:p w14:paraId="13BA2192" w14:textId="77777777" w:rsidR="00801D22" w:rsidRDefault="00FE4B90">
      <w:pPr>
        <w:pStyle w:val="Heading2"/>
        <w:rPr>
          <w:sz w:val="26"/>
          <w:szCs w:val="26"/>
        </w:rPr>
      </w:pPr>
      <w:bookmarkStart w:id="5" w:name="_rm2xgb12ztku" w:colFirst="0" w:colLast="0"/>
      <w:bookmarkEnd w:id="5"/>
      <w:r>
        <w:rPr>
          <w:sz w:val="26"/>
          <w:szCs w:val="26"/>
        </w:rPr>
        <w:lastRenderedPageBreak/>
        <w:t>Impact of melanoma survival prognostic factors in the MIA Cohort</w:t>
      </w:r>
    </w:p>
    <w:p w14:paraId="66A6896C" w14:textId="77777777" w:rsidR="00801D22" w:rsidRDefault="00FE4B90">
      <w:pPr>
        <w:spacing w:after="200"/>
      </w:pPr>
      <w:r>
        <w:t xml:space="preserve">Since the MIA cohort had information on other important prognostic factors including the American Joint Committee on Cancer (AJCC) 2010 stage at diagnosis (I through IV), primary tumour thickness (mm), we performed more sensitivity analyses in this dataset. </w:t>
      </w:r>
      <w:r>
        <w:rPr>
          <w:color w:val="333333"/>
        </w:rPr>
        <w:t xml:space="preserve">First out of the 5,762 participants we excluded those with AJCC 2010 Stage O (N=90), unknown stage (N=119), and missing data (N=2) to restrict the analysis to participants with invasive melanoma (total N=5,551, melanoma deaths=771). Second, we computed Cox proportional-hazard models for MSS (MSS ~ </w:t>
      </w:r>
      <w:r w:rsidRPr="0086737B">
        <w:rPr>
          <w:color w:val="333333"/>
        </w:rPr>
        <w:t>PRS_susceptibility</w:t>
      </w:r>
      <w:r>
        <w:rPr>
          <w:i/>
          <w:color w:val="333333"/>
        </w:rPr>
        <w:t xml:space="preserve"> </w:t>
      </w:r>
      <w:r>
        <w:rPr>
          <w:color w:val="333333"/>
        </w:rPr>
        <w:t xml:space="preserve">+ 10 PCs + age + sex) </w:t>
      </w:r>
      <w:r>
        <w:t>(</w:t>
      </w:r>
      <w:r>
        <w:rPr>
          <w:b/>
        </w:rPr>
        <w:t>Results</w:t>
      </w:r>
      <w:r>
        <w:t>).</w:t>
      </w:r>
    </w:p>
    <w:p w14:paraId="1DF2D498" w14:textId="77777777" w:rsidR="00801D22" w:rsidRDefault="00801D22">
      <w:pPr>
        <w:spacing w:after="200"/>
      </w:pPr>
    </w:p>
    <w:p w14:paraId="07D29554" w14:textId="77777777" w:rsidR="00801D22" w:rsidRDefault="00FE4B90">
      <w:pPr>
        <w:spacing w:after="200"/>
      </w:pPr>
      <w:r>
        <w:t xml:space="preserve">Next we restricted the analyses to participants with invasive melanoma and complete data on both tumour stage and primary tumour thickness (N = 5,282, melanoma deaths = 669), to compute Cox proportional-hazard models for MSS adjusting (in addition to the above) for AJCC 2010 tumour stage (stage III/IV vs stage I/II) and primary tumour thickness (thick (&gt;1mm) vs thin (&lt;=1mm) (MSS ~ </w:t>
      </w:r>
      <w:r w:rsidRPr="0086737B">
        <w:rPr>
          <w:color w:val="333333"/>
        </w:rPr>
        <w:t>PRS_susceptibility</w:t>
      </w:r>
      <w:r>
        <w:t xml:space="preserve"> + 10 PCs + age + sex + tumour stage + primary tumour thickness) (</w:t>
      </w:r>
      <w:r>
        <w:rPr>
          <w:b/>
        </w:rPr>
        <w:t>Results, Figure 3</w:t>
      </w:r>
      <w:r>
        <w:t>).</w:t>
      </w:r>
    </w:p>
    <w:p w14:paraId="34B75D48" w14:textId="77777777" w:rsidR="00801D22" w:rsidRDefault="00801D22">
      <w:pPr>
        <w:spacing w:line="240" w:lineRule="auto"/>
        <w:rPr>
          <w:sz w:val="22"/>
          <w:szCs w:val="22"/>
        </w:rPr>
      </w:pPr>
    </w:p>
    <w:p w14:paraId="79825B9C" w14:textId="77777777" w:rsidR="00801D22" w:rsidRDefault="00FE4B90">
      <w:pPr>
        <w:spacing w:after="200"/>
        <w:rPr>
          <w:b/>
        </w:rPr>
      </w:pPr>
      <w:r>
        <w:t xml:space="preserve">To rule out survival bias due to leading time bias, we also excluded the first two years of follow up (leaving </w:t>
      </w:r>
      <w:r>
        <w:rPr>
          <w:color w:val="2E2E2E"/>
        </w:rPr>
        <w:t>N = 4,018, and melanoma deaths = 574)</w:t>
      </w:r>
      <w:r>
        <w:t xml:space="preserve"> and computed the Cox proportional-hazard models for MSS (MSS ~ </w:t>
      </w:r>
      <w:r w:rsidRPr="0086737B">
        <w:rPr>
          <w:color w:val="333333"/>
        </w:rPr>
        <w:t>PRS_susceptibility</w:t>
      </w:r>
      <w:r>
        <w:t xml:space="preserve"> + 10 PCs + age + sex + tumour stage + primary tumour thickness)</w:t>
      </w:r>
      <w:r>
        <w:rPr>
          <w:b/>
        </w:rPr>
        <w:t xml:space="preserve"> (Results)</w:t>
      </w:r>
    </w:p>
    <w:p w14:paraId="19016251" w14:textId="77777777" w:rsidR="00801D22" w:rsidRDefault="00801D22">
      <w:pPr>
        <w:spacing w:after="200"/>
        <w:rPr>
          <w:rFonts w:ascii="Roboto" w:eastAsia="Roboto" w:hAnsi="Roboto" w:cs="Roboto"/>
          <w:color w:val="3C4043"/>
          <w:sz w:val="21"/>
          <w:szCs w:val="21"/>
          <w:highlight w:val="white"/>
        </w:rPr>
      </w:pPr>
    </w:p>
    <w:p w14:paraId="65256D9A" w14:textId="77777777" w:rsidR="00801D22" w:rsidRPr="0086737B" w:rsidRDefault="00FE4B90">
      <w:pPr>
        <w:spacing w:after="200"/>
      </w:pPr>
      <w:r w:rsidRPr="0086737B">
        <w:t>We further examined whether there was an interaction between the PRS</w:t>
      </w:r>
      <w:r w:rsidRPr="0086737B">
        <w:rPr>
          <w:vertAlign w:val="subscript"/>
        </w:rPr>
        <w:t>CM</w:t>
      </w:r>
      <w:r w:rsidRPr="0086737B">
        <w:t xml:space="preserve"> and strong MSS prognostic factors; by fitting interaction terms between the PRS and them and computing the Cox proportional-hazard models for MSS (MSS ~ </w:t>
      </w:r>
      <w:r w:rsidRPr="0086737B">
        <w:rPr>
          <w:color w:val="333333"/>
        </w:rPr>
        <w:t>PRS_susceptibility</w:t>
      </w:r>
      <w:r w:rsidRPr="0086737B">
        <w:t xml:space="preserve"> * tumour stage + 10 PCs + age + sex + primary </w:t>
      </w:r>
      <w:r w:rsidRPr="0086737B">
        <w:lastRenderedPageBreak/>
        <w:t xml:space="preserve">tumour thickness, MSS ~ </w:t>
      </w:r>
      <w:r w:rsidRPr="0086737B">
        <w:rPr>
          <w:color w:val="333333"/>
        </w:rPr>
        <w:t>PRS_susceptibility</w:t>
      </w:r>
      <w:r w:rsidRPr="0086737B">
        <w:t xml:space="preserve"> * primary tumour thickness + 10 PCs + age + sex + tumour stage, and MSS ~ </w:t>
      </w:r>
      <w:r w:rsidRPr="0086737B">
        <w:rPr>
          <w:color w:val="333333"/>
        </w:rPr>
        <w:t>PRS_susceptibility</w:t>
      </w:r>
      <w:r w:rsidRPr="0086737B">
        <w:t xml:space="preserve"> * primary tumour thickness * tumour stage + 10 PCs + age + sex) (</w:t>
      </w:r>
      <w:r w:rsidRPr="0086737B">
        <w:rPr>
          <w:b/>
        </w:rPr>
        <w:t>Results; Table 3</w:t>
      </w:r>
      <w:r w:rsidRPr="0086737B">
        <w:t>).</w:t>
      </w:r>
    </w:p>
    <w:p w14:paraId="67EAA547" w14:textId="77777777" w:rsidR="00801D22" w:rsidRDefault="00801D22">
      <w:pPr>
        <w:spacing w:after="200"/>
      </w:pPr>
    </w:p>
    <w:p w14:paraId="61641F30" w14:textId="4472A540" w:rsidR="00801D22" w:rsidRDefault="00FE4B90">
      <w:pPr>
        <w:spacing w:after="200"/>
        <w:rPr>
          <w:highlight w:val="yellow"/>
        </w:rPr>
      </w:pPr>
      <w:r>
        <w:t>In a similar way, we explored whether the MSS ~ PRS</w:t>
      </w:r>
      <w:r>
        <w:rPr>
          <w:vertAlign w:val="subscript"/>
        </w:rPr>
        <w:t xml:space="preserve">CM </w:t>
      </w:r>
      <w:r>
        <w:t>association differed by tumour stage (stage III/IV vs stage I/II) or primary tumour thickness (thick vs thin) by computing the Cox proportional-</w:t>
      </w:r>
      <w:r w:rsidRPr="0086737B">
        <w:t>hazard models for MSS in each stratum (e.g</w:t>
      </w:r>
      <w:r w:rsidR="0086737B" w:rsidRPr="0086737B">
        <w:t>.</w:t>
      </w:r>
      <w:r w:rsidRPr="0086737B">
        <w:t xml:space="preserve"> in stage III/IV; MSS ~ </w:t>
      </w:r>
      <w:r w:rsidRPr="0086737B">
        <w:rPr>
          <w:color w:val="333333"/>
        </w:rPr>
        <w:t>PRS_susceptibility</w:t>
      </w:r>
      <w:r w:rsidRPr="0086737B">
        <w:t xml:space="preserve"> + 10 PCs + age + sex, or in thin melanoma; MSS ~ </w:t>
      </w:r>
      <w:r w:rsidRPr="0086737B">
        <w:rPr>
          <w:color w:val="333333"/>
        </w:rPr>
        <w:t>PRS_susceptibility</w:t>
      </w:r>
      <w:r w:rsidRPr="0086737B">
        <w:t xml:space="preserve"> + 10 PCs + age + sex). In order to rule whether the PRS</w:t>
      </w:r>
      <w:r w:rsidRPr="0086737B">
        <w:rPr>
          <w:vertAlign w:val="subscript"/>
        </w:rPr>
        <w:t>CM</w:t>
      </w:r>
      <w:r w:rsidRPr="0086737B">
        <w:t xml:space="preserve"> - MSS association was not mediated through tumour or tumour thickness, we tested whether the PRS</w:t>
      </w:r>
      <w:r w:rsidRPr="0086737B">
        <w:rPr>
          <w:vertAlign w:val="subscript"/>
        </w:rPr>
        <w:t>CM</w:t>
      </w:r>
      <w:r w:rsidRPr="0086737B">
        <w:t xml:space="preserve"> was associated with advanced tumour stage </w:t>
      </w:r>
      <w:r w:rsidRPr="0086737B">
        <w:rPr>
          <w:color w:val="2E2E2E"/>
        </w:rPr>
        <w:t>(I/II- no, and III/IV- yes) (</w:t>
      </w:r>
      <w:r w:rsidRPr="0086737B">
        <w:t xml:space="preserve">advanced tumour stage ~ </w:t>
      </w:r>
      <w:r w:rsidRPr="0086737B">
        <w:rPr>
          <w:color w:val="333333"/>
        </w:rPr>
        <w:t>PRS_susceptibility</w:t>
      </w:r>
      <w:r w:rsidRPr="0086737B">
        <w:t xml:space="preserve"> + 10 PCs + age + sex), and </w:t>
      </w:r>
      <w:r w:rsidRPr="0086737B">
        <w:rPr>
          <w:color w:val="2E2E2E"/>
        </w:rPr>
        <w:t>primary tumour thickness (thin -no, and thick -yes) (</w:t>
      </w:r>
      <w:r w:rsidRPr="0086737B">
        <w:t xml:space="preserve">thick tumour ~ </w:t>
      </w:r>
      <w:r w:rsidRPr="0086737B">
        <w:rPr>
          <w:color w:val="333333"/>
        </w:rPr>
        <w:t>PRS_susceptibility</w:t>
      </w:r>
      <w:r w:rsidRPr="0086737B">
        <w:t xml:space="preserve"> + 10 PCs + age + sex) (</w:t>
      </w:r>
      <w:r w:rsidRPr="0086737B">
        <w:rPr>
          <w:b/>
        </w:rPr>
        <w:t>Results; Figure 3</w:t>
      </w:r>
      <w:r w:rsidRPr="0086737B">
        <w:t>)</w:t>
      </w:r>
    </w:p>
    <w:p w14:paraId="00449F5F" w14:textId="77777777" w:rsidR="0086737B" w:rsidRDefault="0086737B">
      <w:pPr>
        <w:spacing w:after="200"/>
        <w:rPr>
          <w:highlight w:val="yellow"/>
        </w:rPr>
      </w:pPr>
    </w:p>
    <w:p w14:paraId="590D680D" w14:textId="46A49648" w:rsidR="00801D22" w:rsidRDefault="00FE4B90">
      <w:pPr>
        <w:spacing w:after="200"/>
      </w:pPr>
      <w:r>
        <w:t>We also assessed whether the assoc</w:t>
      </w:r>
      <w:r w:rsidR="0086737B">
        <w:t>i</w:t>
      </w:r>
      <w:r>
        <w:t>ation between PRS</w:t>
      </w:r>
      <w:r>
        <w:rPr>
          <w:vertAlign w:val="subscript"/>
        </w:rPr>
        <w:t>CM</w:t>
      </w:r>
      <w:r>
        <w:t xml:space="preserve"> and MSS varied across the PRS strata (quartiles) by comparing the odds of dying from melanoma for participants in the Q4, Q3, Q2 with their counterparts in Q1, adjusting for age, sex and 10 PCs using the MIA cohort (</w:t>
      </w:r>
      <w:r>
        <w:rPr>
          <w:b/>
        </w:rPr>
        <w:t>Supplementary Figure 4</w:t>
      </w:r>
      <w:r>
        <w:t>).</w:t>
      </w:r>
    </w:p>
    <w:p w14:paraId="725D9EF9" w14:textId="77777777" w:rsidR="00801D22" w:rsidRDefault="00801D22">
      <w:pPr>
        <w:rPr>
          <w:highlight w:val="yellow"/>
        </w:rPr>
      </w:pPr>
    </w:p>
    <w:p w14:paraId="0CA8B803" w14:textId="77777777" w:rsidR="00801D22" w:rsidRDefault="00FE4B90">
      <w:pPr>
        <w:pStyle w:val="Heading2"/>
        <w:rPr>
          <w:sz w:val="26"/>
          <w:szCs w:val="26"/>
        </w:rPr>
      </w:pPr>
      <w:bookmarkStart w:id="6" w:name="_3y4c0b4w7sy2" w:colFirst="0" w:colLast="0"/>
      <w:bookmarkEnd w:id="6"/>
      <w:r>
        <w:rPr>
          <w:sz w:val="26"/>
          <w:szCs w:val="26"/>
        </w:rPr>
        <w:t>Development of the standalone skin colour polygenic risk score</w:t>
      </w:r>
    </w:p>
    <w:p w14:paraId="3FA800D0" w14:textId="77777777" w:rsidR="00801D22" w:rsidRDefault="00FE4B90">
      <w:r>
        <w:t xml:space="preserve">We used the skin colour phenotype (data field 1717) in the UKB and coded in the order brown, dark olive, light olive, fair and very fair. Using </w:t>
      </w:r>
      <w:proofErr w:type="gramStart"/>
      <w:r>
        <w:t>R</w:t>
      </w:r>
      <w:proofErr w:type="gramEnd"/>
      <w:r>
        <w:t xml:space="preserve"> we applied a rank inverse normal transformation (</w:t>
      </w:r>
      <w:proofErr w:type="spellStart"/>
      <w:r>
        <w:t>rankit</w:t>
      </w:r>
      <w:proofErr w:type="spellEnd"/>
      <w:r>
        <w:t xml:space="preserve"> transformation) such that it could be analysed as an approximately normally distributed quantitative phenotype. We conducted a GWAS using linear mixed models using BOLT-LMM </w:t>
      </w:r>
      <w:hyperlink r:id="rId28">
        <w:r>
          <w:rPr>
            <w:color w:val="000000"/>
          </w:rPr>
          <w:t>(</w:t>
        </w:r>
        <w:proofErr w:type="spellStart"/>
        <w:r>
          <w:rPr>
            <w:color w:val="000000"/>
          </w:rPr>
          <w:t>Loh</w:t>
        </w:r>
        <w:proofErr w:type="spellEnd"/>
        <w:r>
          <w:rPr>
            <w:color w:val="000000"/>
          </w:rPr>
          <w:t xml:space="preserve"> et al. 2015)</w:t>
        </w:r>
      </w:hyperlink>
      <w:r>
        <w:t xml:space="preserve">, </w:t>
      </w:r>
      <w:r>
        <w:lastRenderedPageBreak/>
        <w:t>adjusting for sex, age and the first ten PCs. We excluded participants with melanoma (who were included in the MSS analysis), of non-European ancestry and those who withdrew their participation in the UKB research. Following these filters</w:t>
      </w:r>
      <w:r w:rsidR="00B85068">
        <w:t xml:space="preserve">, </w:t>
      </w:r>
      <w:r>
        <w:t xml:space="preserve">427,893 participants were included in the analysis. </w:t>
      </w:r>
    </w:p>
    <w:p w14:paraId="2B340E78" w14:textId="77777777" w:rsidR="00801D22" w:rsidRDefault="00FE4B90">
      <w:r>
        <w:t>Next, we selected non-ambiguous, autosomal, bi</w:t>
      </w:r>
      <w:r w:rsidR="00B85068">
        <w:t>-</w:t>
      </w:r>
      <w:r>
        <w:t>allelic SNPs with a minor allele frequency (MAF) &gt; 1% and imputation quality score of 0.3 that were present in the validation (QSkin) and target (MIA and UKB) cohorts as well as the linkage disequilibrium (LD) reference panel, resulting in 6,360,404 SNPs.</w:t>
      </w:r>
    </w:p>
    <w:p w14:paraId="071BE272" w14:textId="77777777" w:rsidR="00801D22" w:rsidRDefault="00FE4B90">
      <w:r>
        <w:t xml:space="preserve">Next, as for the </w:t>
      </w:r>
      <w:r w:rsidRPr="0086737B">
        <w:t>PRS_susceptibility</w:t>
      </w:r>
      <w:r>
        <w:t xml:space="preserve"> </w:t>
      </w:r>
      <w:r>
        <w:rPr>
          <w:vertAlign w:val="subscript"/>
        </w:rPr>
        <w:t xml:space="preserve"> </w:t>
      </w:r>
      <w:r>
        <w:t>(</w:t>
      </w:r>
      <w:r>
        <w:rPr>
          <w:b/>
        </w:rPr>
        <w:t>Methods</w:t>
      </w:r>
      <w:r>
        <w:t xml:space="preserve">) we used LDpred  </w:t>
      </w:r>
      <w:hyperlink r:id="rId29">
        <w:r>
          <w:rPr>
            <w:color w:val="000000"/>
          </w:rPr>
          <w:t>(</w:t>
        </w:r>
        <w:proofErr w:type="spellStart"/>
        <w:r>
          <w:rPr>
            <w:color w:val="000000"/>
          </w:rPr>
          <w:t>Vilhjálmsson</w:t>
        </w:r>
        <w:proofErr w:type="spellEnd"/>
        <w:r>
          <w:rPr>
            <w:color w:val="000000"/>
          </w:rPr>
          <w:t xml:space="preserve"> et al. 2015)</w:t>
        </w:r>
      </w:hyperlink>
      <w:r>
        <w:t xml:space="preserve"> to derive PRS models at 2 </w:t>
      </w:r>
      <w:proofErr w:type="spellStart"/>
      <w:r>
        <w:t>mb</w:t>
      </w:r>
      <w:proofErr w:type="spellEnd"/>
      <w:r>
        <w:t xml:space="preserve"> and 5 </w:t>
      </w:r>
      <w:proofErr w:type="spellStart"/>
      <w:r>
        <w:t>mb</w:t>
      </w:r>
      <w:proofErr w:type="spellEnd"/>
      <w:r>
        <w:t xml:space="preserve"> of LD radii with different fractions of causal SNPs i.e</w:t>
      </w:r>
      <w:r w:rsidR="00B85068">
        <w:t>.</w:t>
      </w:r>
      <w:r>
        <w:t xml:space="preserve"> 1 (F0), 0.1 (F1), 0.01 (F2), 0.001 (F3), 0.0001 (F4) and 0.00002 (F5). We used the QSkin Cohort (1,285 melanoma cases and 15,423 controls) to validate the derived PRS models and select the best performing one. First, we used the LDpred-adjusted effect sizes (log ORs) and the imputed allelic dosages to compute PRS for each individual using PLINK 1.9 </w:t>
      </w:r>
      <w:hyperlink r:id="rId30">
        <w:r>
          <w:rPr>
            <w:color w:val="000000"/>
          </w:rPr>
          <w:t>(Chang et al. 2015)</w:t>
        </w:r>
      </w:hyperlink>
      <w:r>
        <w:t>. Then we calculated and used Nagelkerke’s R</w:t>
      </w:r>
      <w:r>
        <w:rPr>
          <w:vertAlign w:val="superscript"/>
        </w:rPr>
        <w:t>2</w:t>
      </w:r>
      <w:r>
        <w:t xml:space="preserve"> </w:t>
      </w:r>
      <w:hyperlink r:id="rId31">
        <w:r>
          <w:rPr>
            <w:color w:val="000000"/>
          </w:rPr>
          <w:t>(Nagelkerke 1991)</w:t>
        </w:r>
      </w:hyperlink>
      <w:r>
        <w:t xml:space="preserve"> to select the optimally performing PRS model by comparing the model fit for CM risk ~ Pigmentation PRS +age + sex +10 PCs, and a null model (CM risk ~ age + sex +10 PCs). Model performances are presented in </w:t>
      </w:r>
      <w:r>
        <w:rPr>
          <w:b/>
        </w:rPr>
        <w:t>Supplementary Figure 2</w:t>
      </w:r>
      <w:r>
        <w:t xml:space="preserve">. The best performing PRS model was subsequently used to explore the association between the skin colour PRS and melanoma risk in the QSkin cohort, and melanoma specific survival in UKB and MIA cohorts. The F1 2 </w:t>
      </w:r>
      <w:proofErr w:type="spellStart"/>
      <w:r>
        <w:t>mb</w:t>
      </w:r>
      <w:proofErr w:type="spellEnd"/>
      <w:r>
        <w:t xml:space="preserve"> LD radius model was the best performing model with Nagelkerke’s R</w:t>
      </w:r>
      <w:r>
        <w:rPr>
          <w:vertAlign w:val="superscript"/>
        </w:rPr>
        <w:t>2</w:t>
      </w:r>
      <w:r>
        <w:t xml:space="preserve"> of 3.1% (</w:t>
      </w:r>
      <w:r>
        <w:rPr>
          <w:b/>
        </w:rPr>
        <w:t xml:space="preserve">Supplementary Figure </w:t>
      </w:r>
      <w:r>
        <w:t xml:space="preserve">2). It was thus used in all our subsequent analyses. </w:t>
      </w:r>
    </w:p>
    <w:p w14:paraId="53CAE284" w14:textId="77777777" w:rsidR="00801D22" w:rsidRDefault="00FE4B90">
      <w:r>
        <w:rPr>
          <w:noProof/>
        </w:rPr>
        <w:lastRenderedPageBreak/>
        <w:drawing>
          <wp:inline distT="114300" distB="114300" distL="114300" distR="114300" wp14:anchorId="39F838B9" wp14:editId="02A4D638">
            <wp:extent cx="6120000" cy="43688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6120000" cy="4368800"/>
                    </a:xfrm>
                    <a:prstGeom prst="rect">
                      <a:avLst/>
                    </a:prstGeom>
                    <a:ln/>
                  </pic:spPr>
                </pic:pic>
              </a:graphicData>
            </a:graphic>
          </wp:inline>
        </w:drawing>
      </w:r>
    </w:p>
    <w:p w14:paraId="2960B726" w14:textId="41DFFB74" w:rsidR="00801D22" w:rsidRDefault="00FE4B90">
      <w:pPr>
        <w:rPr>
          <w:i/>
        </w:rPr>
      </w:pPr>
      <w:r>
        <w:rPr>
          <w:b/>
        </w:rPr>
        <w:t xml:space="preserve">Supplementary Figure 2: Skin colour polygenic risk score model performance in the validation cohort (QSkin). </w:t>
      </w:r>
      <w:r>
        <w:rPr>
          <w:i/>
        </w:rPr>
        <w:t xml:space="preserve">The x-axis represents the different melanoma </w:t>
      </w:r>
      <w:r>
        <w:t>polygenic risk score (PRS)</w:t>
      </w:r>
      <w:r>
        <w:rPr>
          <w:i/>
        </w:rPr>
        <w:t xml:space="preserve"> models of varying fractions of causal SNPs (i</w:t>
      </w:r>
      <w:r w:rsidR="00B85068">
        <w:rPr>
          <w:i/>
        </w:rPr>
        <w:t>.</w:t>
      </w:r>
      <w:r>
        <w:rPr>
          <w:i/>
        </w:rPr>
        <w:t xml:space="preserve">e. 1 (F0), 0.1 (F1), 0.01 (F2),0.001(F3),0.0001 (F4) and 0.00002 (F5)) at the different radii of the linkage disequilibrium (LD) (i.e. 2 </w:t>
      </w:r>
      <w:proofErr w:type="spellStart"/>
      <w:r>
        <w:rPr>
          <w:i/>
        </w:rPr>
        <w:t>megabase</w:t>
      </w:r>
      <w:proofErr w:type="spellEnd"/>
      <w:r>
        <w:rPr>
          <w:i/>
        </w:rPr>
        <w:t xml:space="preserve"> (</w:t>
      </w:r>
      <w:proofErr w:type="spellStart"/>
      <w:r>
        <w:rPr>
          <w:i/>
        </w:rPr>
        <w:t>mb</w:t>
      </w:r>
      <w:proofErr w:type="spellEnd"/>
      <w:r>
        <w:rPr>
          <w:i/>
        </w:rPr>
        <w:t xml:space="preserve">) and 5 </w:t>
      </w:r>
      <w:proofErr w:type="spellStart"/>
      <w:r>
        <w:rPr>
          <w:i/>
        </w:rPr>
        <w:t>mb</w:t>
      </w:r>
      <w:proofErr w:type="spellEnd"/>
      <w:r>
        <w:rPr>
          <w:i/>
        </w:rPr>
        <w:t>). The y-axis represents Nagelkerke’s R</w:t>
      </w:r>
      <w:r>
        <w:rPr>
          <w:i/>
          <w:vertAlign w:val="superscript"/>
        </w:rPr>
        <w:t>2</w:t>
      </w:r>
      <w:r>
        <w:rPr>
          <w:i/>
        </w:rPr>
        <w:t xml:space="preserve"> (%) for each of the 12 PRS models. The horizontal dashed black line highlights the optimal model (F1-2mb) (i</w:t>
      </w:r>
      <w:r w:rsidR="00B85068">
        <w:rPr>
          <w:i/>
        </w:rPr>
        <w:t>.</w:t>
      </w:r>
      <w:r>
        <w:rPr>
          <w:i/>
        </w:rPr>
        <w:t>e. with the highest Nagelkerke’s R</w:t>
      </w:r>
      <w:r>
        <w:rPr>
          <w:i/>
          <w:vertAlign w:val="superscript"/>
        </w:rPr>
        <w:t>2</w:t>
      </w:r>
      <w:r>
        <w:rPr>
          <w:i/>
        </w:rPr>
        <w:t xml:space="preserve">). </w:t>
      </w:r>
    </w:p>
    <w:p w14:paraId="7E5EF46F" w14:textId="77777777" w:rsidR="00801D22" w:rsidRDefault="00801D22"/>
    <w:p w14:paraId="1BD4390B" w14:textId="77777777" w:rsidR="00801D22" w:rsidRDefault="00801D22"/>
    <w:p w14:paraId="379D1212" w14:textId="77777777" w:rsidR="00801D22" w:rsidRDefault="00801D22"/>
    <w:p w14:paraId="1FCB036C" w14:textId="77777777" w:rsidR="00801D22" w:rsidRDefault="00801D22"/>
    <w:p w14:paraId="4A4F19A1" w14:textId="77777777" w:rsidR="00801D22" w:rsidRDefault="00801D22"/>
    <w:p w14:paraId="579715B2" w14:textId="77777777" w:rsidR="00801D22" w:rsidRDefault="00FE4B90">
      <w:pPr>
        <w:pStyle w:val="Heading2"/>
        <w:spacing w:line="360" w:lineRule="auto"/>
        <w:rPr>
          <w:sz w:val="26"/>
          <w:szCs w:val="26"/>
        </w:rPr>
      </w:pPr>
      <w:bookmarkStart w:id="7" w:name="_oyczwdnv7uez" w:colFirst="0" w:colLast="0"/>
      <w:bookmarkEnd w:id="7"/>
      <w:r>
        <w:rPr>
          <w:sz w:val="26"/>
          <w:szCs w:val="26"/>
        </w:rPr>
        <w:lastRenderedPageBreak/>
        <w:t xml:space="preserve">Generation of the standalone </w:t>
      </w:r>
      <w:proofErr w:type="spellStart"/>
      <w:r>
        <w:rPr>
          <w:sz w:val="26"/>
          <w:szCs w:val="26"/>
        </w:rPr>
        <w:t>naevus</w:t>
      </w:r>
      <w:proofErr w:type="spellEnd"/>
      <w:r>
        <w:rPr>
          <w:sz w:val="26"/>
          <w:szCs w:val="26"/>
        </w:rPr>
        <w:t xml:space="preserve"> count pathway polygenic risk score</w:t>
      </w:r>
    </w:p>
    <w:p w14:paraId="5A283032" w14:textId="77777777" w:rsidR="00801D22" w:rsidRDefault="00FE4B90">
      <w:r>
        <w:t xml:space="preserve">We used </w:t>
      </w:r>
      <w:proofErr w:type="spellStart"/>
      <w:r>
        <w:t>naevus</w:t>
      </w:r>
      <w:proofErr w:type="spellEnd"/>
      <w:r>
        <w:t xml:space="preserve"> count PRS (</w:t>
      </w:r>
      <w:r>
        <w:rPr>
          <w:b/>
        </w:rPr>
        <w:t>Supplementary Table 5</w:t>
      </w:r>
      <w:r>
        <w:t>) of genome wide significant (5x10</w:t>
      </w:r>
      <w:r>
        <w:rPr>
          <w:vertAlign w:val="superscript"/>
        </w:rPr>
        <w:t>-8</w:t>
      </w:r>
      <w:r>
        <w:t xml:space="preserve">) SNPs from a previously published GWAS of </w:t>
      </w:r>
      <w:proofErr w:type="spellStart"/>
      <w:r>
        <w:t>naevus</w:t>
      </w:r>
      <w:proofErr w:type="spellEnd"/>
      <w:r>
        <w:t xml:space="preserve"> count </w:t>
      </w:r>
      <w:hyperlink r:id="rId33">
        <w:r>
          <w:rPr>
            <w:color w:val="000000"/>
          </w:rPr>
          <w:t>(Duffy et al. 2018)</w:t>
        </w:r>
      </w:hyperlink>
      <w:r>
        <w:t>. In brief, the GWAS included 52,506 participants of European ancestry without melanoma, non</w:t>
      </w:r>
      <w:r w:rsidR="00B85068">
        <w:t>-</w:t>
      </w:r>
      <w:r>
        <w:t xml:space="preserve">overlapping with the QSkin, MIA or UKB cohorts, from 11 cohorts from Europe, Australia, and USA. Details of the included cohorts and other quality control metrics have been published elsewhere </w:t>
      </w:r>
      <w:hyperlink r:id="rId34">
        <w:r>
          <w:rPr>
            <w:color w:val="000000"/>
          </w:rPr>
          <w:t>(Duffy et al. 2018)</w:t>
        </w:r>
      </w:hyperlink>
      <w:r>
        <w:t xml:space="preserve">. Individual scores were generated in QSkin, MIA and UKB by using the SNP effect sizes (betas) as the weights and the imputed allelic dosages using PLINK 1.9 and analysed as done for the pigmentation PRS above. </w:t>
      </w:r>
    </w:p>
    <w:p w14:paraId="52CDC288" w14:textId="77777777" w:rsidR="00801D22" w:rsidRDefault="00801D22"/>
    <w:p w14:paraId="3AACC97A" w14:textId="77777777" w:rsidR="00801D22" w:rsidRDefault="00FE4B90">
      <w:pPr>
        <w:pStyle w:val="Heading2"/>
      </w:pPr>
      <w:bookmarkStart w:id="8" w:name="_3j93jv1703vl" w:colFirst="0" w:colLast="0"/>
      <w:bookmarkEnd w:id="8"/>
      <w:r>
        <w:t>Development and assessment of the standalone telomere length polygenic risk score.</w:t>
      </w:r>
    </w:p>
    <w:p w14:paraId="11BA20A5" w14:textId="77777777" w:rsidR="00801D22" w:rsidRDefault="00FE4B90">
      <w:r>
        <w:t xml:space="preserve">Using data from the UKB we conducted a GWAS on telomere length (data field </w:t>
      </w:r>
      <w:r>
        <w:rPr>
          <w:highlight w:val="white"/>
        </w:rPr>
        <w:t xml:space="preserve">22192; Z-adjusted T/S log) </w:t>
      </w:r>
      <w:r>
        <w:t xml:space="preserve">using linear mixed models using BOLT-LMM v2.3  </w:t>
      </w:r>
      <w:hyperlink r:id="rId35">
        <w:r>
          <w:rPr>
            <w:color w:val="000000"/>
          </w:rPr>
          <w:t>(Loh et al. 2015)</w:t>
        </w:r>
      </w:hyperlink>
      <w:r>
        <w:t xml:space="preserve">, adjusting for sex, age and the first ten PCs. For the telomere length phenotype, </w:t>
      </w:r>
      <w:r>
        <w:rPr>
          <w:highlight w:val="white"/>
        </w:rPr>
        <w:t>adjusted leukocyte telomere length (Field 22191) was both loge-transformed to obtain a normal distribution and then Z-standardised (</w:t>
      </w:r>
      <w:hyperlink r:id="rId36">
        <w:r>
          <w:rPr>
            <w:color w:val="1155CC"/>
            <w:highlight w:val="white"/>
            <w:u w:val="single"/>
          </w:rPr>
          <w:t>https://biobank.ndph.ox.ac.uk/ukb/field.cgi?id=22192</w:t>
        </w:r>
      </w:hyperlink>
      <w:r>
        <w:rPr>
          <w:highlight w:val="white"/>
        </w:rPr>
        <w:t xml:space="preserve">). After excluding all participants </w:t>
      </w:r>
      <w:r>
        <w:t>who were included in the MSS analysis, of non-European ancestry and those who withdrew their participation in the UKB research, 433,431 individuals were available for the analysis. After the conducting the GWAS, we retained non-ambiguous, autosomal, bi</w:t>
      </w:r>
      <w:r w:rsidR="00B85068">
        <w:t>-</w:t>
      </w:r>
      <w:r>
        <w:t>allelic SNPs with a minor allele frequency (MAF) &gt; 1% and imputation quality score of 0.3 which overlapped in the validation (QSkin) and target (MIA and UKB) cohorts.</w:t>
      </w:r>
    </w:p>
    <w:p w14:paraId="2C830CD2" w14:textId="63A2AA85" w:rsidR="00801D22" w:rsidRDefault="00FE4B90">
      <w:r>
        <w:t>After performing LD clumping (r</w:t>
      </w:r>
      <w:r>
        <w:rPr>
          <w:vertAlign w:val="superscript"/>
        </w:rPr>
        <w:t>2</w:t>
      </w:r>
      <w:r w:rsidR="00B85068">
        <w:rPr>
          <w:vertAlign w:val="superscript"/>
        </w:rPr>
        <w:t xml:space="preserve"> </w:t>
      </w:r>
      <w:r>
        <w:t xml:space="preserve">= 0.5%, and 5000 kb, and P </w:t>
      </w:r>
      <w:r w:rsidR="00B85068">
        <w:t xml:space="preserve">&lt; </w:t>
      </w:r>
      <w:r>
        <w:t>1) to select independent SNPs, we generated 8 PRS models based on P-value thresholds less than; 5 x 10</w:t>
      </w:r>
      <w:r>
        <w:rPr>
          <w:vertAlign w:val="superscript"/>
        </w:rPr>
        <w:t>-8</w:t>
      </w:r>
      <w:r>
        <w:t>, 10</w:t>
      </w:r>
      <w:r>
        <w:rPr>
          <w:vertAlign w:val="superscript"/>
        </w:rPr>
        <w:t>-7</w:t>
      </w:r>
      <w:r>
        <w:t>, 10</w:t>
      </w:r>
      <w:r>
        <w:rPr>
          <w:vertAlign w:val="superscript"/>
        </w:rPr>
        <w:t>-6</w:t>
      </w:r>
      <w:r>
        <w:t>, 10</w:t>
      </w:r>
      <w:r>
        <w:rPr>
          <w:vertAlign w:val="superscript"/>
        </w:rPr>
        <w:t>-5</w:t>
      </w:r>
      <w:r>
        <w:t>, 10</w:t>
      </w:r>
      <w:r>
        <w:rPr>
          <w:vertAlign w:val="superscript"/>
        </w:rPr>
        <w:t>-4</w:t>
      </w:r>
      <w:r>
        <w:t>, 10</w:t>
      </w:r>
      <w:r>
        <w:rPr>
          <w:vertAlign w:val="superscript"/>
        </w:rPr>
        <w:t>-3</w:t>
      </w:r>
      <w:r>
        <w:t>, 10</w:t>
      </w:r>
      <w:r>
        <w:rPr>
          <w:vertAlign w:val="superscript"/>
        </w:rPr>
        <w:t>-2</w:t>
      </w:r>
      <w:r>
        <w:t>, and 10</w:t>
      </w:r>
      <w:r>
        <w:rPr>
          <w:vertAlign w:val="superscript"/>
        </w:rPr>
        <w:t>-1</w:t>
      </w:r>
      <w:r>
        <w:t xml:space="preserve"> and validated them in the QSkin Cohort (as described for skin colour PRS) to select the optimal telomere length PRS (PRS</w:t>
      </w:r>
      <w:r>
        <w:rPr>
          <w:vertAlign w:val="subscript"/>
        </w:rPr>
        <w:t>TL</w:t>
      </w:r>
      <w:r>
        <w:t xml:space="preserve">). PLINK/1.90b6.8 </w:t>
      </w:r>
      <w:hyperlink r:id="rId37">
        <w:r>
          <w:rPr>
            <w:color w:val="000000"/>
          </w:rPr>
          <w:t>(Chang et al. 2015)</w:t>
        </w:r>
      </w:hyperlink>
      <w:r>
        <w:t xml:space="preserve"> was used for LD </w:t>
      </w:r>
      <w:r>
        <w:lastRenderedPageBreak/>
        <w:t>clumping. The PRS at P &lt; 5 x 10</w:t>
      </w:r>
      <w:r>
        <w:rPr>
          <w:vertAlign w:val="superscript"/>
        </w:rPr>
        <w:t xml:space="preserve">-8 </w:t>
      </w:r>
      <w:r>
        <w:t>was selected as the best performing one (Nagelkerke’s R</w:t>
      </w:r>
      <w:r>
        <w:rPr>
          <w:vertAlign w:val="superscript"/>
        </w:rPr>
        <w:t>2</w:t>
      </w:r>
      <w:r>
        <w:t xml:space="preserve"> of 2.6%). First</w:t>
      </w:r>
      <w:r w:rsidR="00B85068">
        <w:t>,</w:t>
      </w:r>
      <w:r>
        <w:t xml:space="preserve"> we tested if PRS</w:t>
      </w:r>
      <w:r>
        <w:rPr>
          <w:vertAlign w:val="subscript"/>
        </w:rPr>
        <w:t>TL</w:t>
      </w:r>
      <w:r>
        <w:t xml:space="preserve"> was associated with CM risk in the QSkin cohort (</w:t>
      </w:r>
      <w:r>
        <w:rPr>
          <w:b/>
        </w:rPr>
        <w:t>Supplementary Figure 3)</w:t>
      </w:r>
      <w:r>
        <w:t>, then with MSS in the MIA cohort (</w:t>
      </w:r>
      <w:r>
        <w:rPr>
          <w:b/>
        </w:rPr>
        <w:t>Results</w:t>
      </w:r>
      <w:r>
        <w:t xml:space="preserve">). </w:t>
      </w:r>
    </w:p>
    <w:p w14:paraId="3A8F9494" w14:textId="77777777" w:rsidR="00801D22" w:rsidRDefault="00801D22"/>
    <w:p w14:paraId="3143C5C3" w14:textId="77777777" w:rsidR="00801D22" w:rsidRDefault="00FE4B90">
      <w:pPr>
        <w:pStyle w:val="Heading2"/>
        <w:spacing w:after="200"/>
        <w:rPr>
          <w:sz w:val="26"/>
          <w:szCs w:val="26"/>
        </w:rPr>
      </w:pPr>
      <w:bookmarkStart w:id="9" w:name="_74acz0bwiv0k" w:colFirst="0" w:colLast="0"/>
      <w:bookmarkEnd w:id="9"/>
      <w:r>
        <w:rPr>
          <w:sz w:val="26"/>
          <w:szCs w:val="26"/>
        </w:rPr>
        <w:t xml:space="preserve">Testing the association between skin colour, </w:t>
      </w:r>
      <w:proofErr w:type="spellStart"/>
      <w:r>
        <w:rPr>
          <w:sz w:val="26"/>
          <w:szCs w:val="26"/>
        </w:rPr>
        <w:t>naevus</w:t>
      </w:r>
      <w:proofErr w:type="spellEnd"/>
      <w:r>
        <w:rPr>
          <w:sz w:val="26"/>
          <w:szCs w:val="26"/>
        </w:rPr>
        <w:t xml:space="preserve"> count and telomere length genetics and melanoma specific survival </w:t>
      </w:r>
    </w:p>
    <w:p w14:paraId="10069512" w14:textId="33E55886" w:rsidR="00801D22" w:rsidRDefault="00FE4B90">
      <w:pPr>
        <w:spacing w:after="200"/>
        <w:rPr>
          <w:color w:val="333333"/>
          <w:highlight w:val="green"/>
        </w:rPr>
      </w:pPr>
      <w:r>
        <w:t>In addition, we assessed if independent polygenic risk scores for pigmentation (PRS</w:t>
      </w:r>
      <w:r>
        <w:rPr>
          <w:vertAlign w:val="subscript"/>
        </w:rPr>
        <w:t>P</w:t>
      </w:r>
      <w:r>
        <w:t>),</w:t>
      </w:r>
      <w:r>
        <w:rPr>
          <w:b/>
        </w:rPr>
        <w:t xml:space="preserve"> </w:t>
      </w:r>
      <w:proofErr w:type="spellStart"/>
      <w:r>
        <w:t>naevus</w:t>
      </w:r>
      <w:proofErr w:type="spellEnd"/>
      <w:r>
        <w:t xml:space="preserve"> count</w:t>
      </w:r>
      <w:r>
        <w:rPr>
          <w:highlight w:val="yellow"/>
        </w:rPr>
        <w:t xml:space="preserve"> </w:t>
      </w:r>
      <w:r>
        <w:t>(PRS</w:t>
      </w:r>
      <w:r>
        <w:rPr>
          <w:vertAlign w:val="subscript"/>
        </w:rPr>
        <w:t>N</w:t>
      </w:r>
      <w:r>
        <w:t>) and telomere length (PRS</w:t>
      </w:r>
      <w:r>
        <w:rPr>
          <w:vertAlign w:val="subscript"/>
        </w:rPr>
        <w:t>TL</w:t>
      </w:r>
      <w:r>
        <w:t>) were associated with MSS. First</w:t>
      </w:r>
      <w:r w:rsidR="00B85068">
        <w:t xml:space="preserve">, </w:t>
      </w:r>
      <w:r>
        <w:t>we generated PRS</w:t>
      </w:r>
      <w:r>
        <w:rPr>
          <w:vertAlign w:val="subscript"/>
        </w:rPr>
        <w:t>P</w:t>
      </w:r>
      <w:r>
        <w:t>, PRS</w:t>
      </w:r>
      <w:r>
        <w:rPr>
          <w:vertAlign w:val="subscript"/>
        </w:rPr>
        <w:t>N</w:t>
      </w:r>
      <w:r>
        <w:t>, and PRS</w:t>
      </w:r>
      <w:r>
        <w:rPr>
          <w:vertAlign w:val="subscript"/>
        </w:rPr>
        <w:t xml:space="preserve">TL </w:t>
      </w:r>
      <w:r>
        <w:t xml:space="preserve">using data independent of the QSkin (validation cohort) and selected the best models as described previously. </w:t>
      </w:r>
      <w:r>
        <w:rPr>
          <w:color w:val="333333"/>
          <w:highlight w:val="white"/>
        </w:rPr>
        <w:t>After validating that these PRS were associated with CM risk in QSkin (</w:t>
      </w:r>
      <w:r>
        <w:rPr>
          <w:b/>
          <w:color w:val="333333"/>
          <w:highlight w:val="white"/>
        </w:rPr>
        <w:t>Supplementary Figure 3</w:t>
      </w:r>
      <w:r>
        <w:rPr>
          <w:color w:val="333333"/>
          <w:highlight w:val="white"/>
        </w:rPr>
        <w:t>), we tested if they were associated with</w:t>
      </w:r>
      <w:r>
        <w:rPr>
          <w:color w:val="333333"/>
        </w:rPr>
        <w:t xml:space="preserve"> MSS in UKB and MIA, as above; MIA and UKB estimates were combined by fixed effects meta-analysis (</w:t>
      </w:r>
      <w:r>
        <w:rPr>
          <w:b/>
          <w:color w:val="333333"/>
        </w:rPr>
        <w:t>Supplementary Figure 5 (</w:t>
      </w:r>
      <w:r>
        <w:t>PRS</w:t>
      </w:r>
      <w:r>
        <w:rPr>
          <w:vertAlign w:val="subscript"/>
        </w:rPr>
        <w:t>P</w:t>
      </w:r>
      <w:r>
        <w:t xml:space="preserve"> &amp;</w:t>
      </w:r>
      <w:r>
        <w:rPr>
          <w:vertAlign w:val="subscript"/>
        </w:rPr>
        <w:t xml:space="preserve"> </w:t>
      </w:r>
      <w:r>
        <w:t>PRS</w:t>
      </w:r>
      <w:r>
        <w:rPr>
          <w:vertAlign w:val="subscript"/>
        </w:rPr>
        <w:t>N</w:t>
      </w:r>
      <w:r>
        <w:rPr>
          <w:b/>
          <w:color w:val="333333"/>
        </w:rPr>
        <w:t xml:space="preserve">) </w:t>
      </w:r>
      <w:r>
        <w:rPr>
          <w:color w:val="333333"/>
        </w:rPr>
        <w:t xml:space="preserve">and </w:t>
      </w:r>
      <w:r>
        <w:rPr>
          <w:b/>
          <w:color w:val="333333"/>
        </w:rPr>
        <w:t>Results (</w:t>
      </w:r>
      <w:r>
        <w:t>PRS</w:t>
      </w:r>
      <w:r>
        <w:rPr>
          <w:vertAlign w:val="subscript"/>
        </w:rPr>
        <w:t>TL</w:t>
      </w:r>
      <w:r w:rsidR="00B85068">
        <w:rPr>
          <w:color w:val="333333"/>
        </w:rPr>
        <w:t>).</w:t>
      </w:r>
    </w:p>
    <w:p w14:paraId="67919519" w14:textId="77777777" w:rsidR="00801D22" w:rsidRDefault="00801D22">
      <w:pPr>
        <w:spacing w:after="0"/>
        <w:rPr>
          <w:highlight w:val="green"/>
        </w:rPr>
      </w:pPr>
    </w:p>
    <w:p w14:paraId="5711DDD0" w14:textId="77777777" w:rsidR="00801D22" w:rsidRDefault="00801D22">
      <w:pPr>
        <w:spacing w:after="0"/>
        <w:rPr>
          <w:highlight w:val="green"/>
        </w:rPr>
      </w:pPr>
    </w:p>
    <w:p w14:paraId="63774675" w14:textId="77777777" w:rsidR="00801D22" w:rsidRDefault="00801D22">
      <w:pPr>
        <w:spacing w:after="0"/>
        <w:rPr>
          <w:highlight w:val="green"/>
        </w:rPr>
      </w:pPr>
    </w:p>
    <w:p w14:paraId="71D6E4CC" w14:textId="77777777" w:rsidR="00801D22" w:rsidRDefault="00801D22">
      <w:pPr>
        <w:spacing w:after="200"/>
      </w:pPr>
    </w:p>
    <w:p w14:paraId="5C144E55" w14:textId="77777777" w:rsidR="00801D22" w:rsidRDefault="00801D22">
      <w:pPr>
        <w:spacing w:after="200"/>
      </w:pPr>
    </w:p>
    <w:p w14:paraId="120E0632" w14:textId="77777777" w:rsidR="00801D22" w:rsidRDefault="00801D22">
      <w:pPr>
        <w:spacing w:after="200"/>
      </w:pPr>
    </w:p>
    <w:p w14:paraId="3F10748C" w14:textId="77777777" w:rsidR="00801D22" w:rsidRDefault="00801D22">
      <w:pPr>
        <w:spacing w:after="200"/>
      </w:pPr>
    </w:p>
    <w:p w14:paraId="7553E42A" w14:textId="77777777" w:rsidR="00801D22" w:rsidRDefault="00801D22">
      <w:pPr>
        <w:spacing w:after="200"/>
      </w:pPr>
    </w:p>
    <w:p w14:paraId="2E652023" w14:textId="77777777" w:rsidR="00801D22" w:rsidRDefault="00801D22">
      <w:pPr>
        <w:spacing w:after="200"/>
      </w:pPr>
    </w:p>
    <w:p w14:paraId="788EA25F" w14:textId="77777777" w:rsidR="00801D22" w:rsidRDefault="00FE4B90">
      <w:pPr>
        <w:pStyle w:val="Heading1"/>
      </w:pPr>
      <w:bookmarkStart w:id="10" w:name="_4rs5o2j6l2g6" w:colFirst="0" w:colLast="0"/>
      <w:bookmarkEnd w:id="10"/>
      <w:r>
        <w:lastRenderedPageBreak/>
        <w:t>Supplementary Results</w:t>
      </w:r>
    </w:p>
    <w:p w14:paraId="12F8178B" w14:textId="77777777" w:rsidR="00801D22" w:rsidRDefault="00FE4B90">
      <w:pPr>
        <w:pStyle w:val="Heading2"/>
        <w:rPr>
          <w:sz w:val="26"/>
          <w:szCs w:val="26"/>
        </w:rPr>
      </w:pPr>
      <w:bookmarkStart w:id="11" w:name="_7nmxlg2hi7x" w:colFirst="0" w:colLast="0"/>
      <w:bookmarkEnd w:id="11"/>
      <w:r>
        <w:rPr>
          <w:sz w:val="26"/>
          <w:szCs w:val="26"/>
        </w:rPr>
        <w:t>Supplementary Figure 1:</w:t>
      </w:r>
    </w:p>
    <w:p w14:paraId="52ABDAE1" w14:textId="77777777" w:rsidR="00801D22" w:rsidRDefault="00FE4B90">
      <w:pPr>
        <w:spacing w:after="0" w:line="276" w:lineRule="auto"/>
        <w:jc w:val="left"/>
      </w:pPr>
      <w:r>
        <w:rPr>
          <w:rFonts w:ascii="Arial" w:eastAsia="Arial" w:hAnsi="Arial" w:cs="Arial"/>
          <w:noProof/>
          <w:sz w:val="22"/>
          <w:szCs w:val="22"/>
        </w:rPr>
        <w:drawing>
          <wp:inline distT="114300" distB="114300" distL="114300" distR="114300" wp14:anchorId="08BAE0FD" wp14:editId="0455F7B3">
            <wp:extent cx="5943600" cy="375385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8"/>
                    <a:srcRect/>
                    <a:stretch>
                      <a:fillRect/>
                    </a:stretch>
                  </pic:blipFill>
                  <pic:spPr>
                    <a:xfrm>
                      <a:off x="0" y="0"/>
                      <a:ext cx="5943600" cy="3753850"/>
                    </a:xfrm>
                    <a:prstGeom prst="rect">
                      <a:avLst/>
                    </a:prstGeom>
                    <a:ln/>
                  </pic:spPr>
                </pic:pic>
              </a:graphicData>
            </a:graphic>
          </wp:inline>
        </w:drawing>
      </w:r>
    </w:p>
    <w:p w14:paraId="25F8CA19" w14:textId="77777777" w:rsidR="00801D22" w:rsidRDefault="00FE4B90">
      <w:r>
        <w:rPr>
          <w:b/>
        </w:rPr>
        <w:t xml:space="preserve">Supplementary Figure 1: </w:t>
      </w:r>
      <w:r>
        <w:t xml:space="preserve">Manhattan plot for the MSS GWAS meta-analysis between MIA and UKB cohorts. </w:t>
      </w:r>
    </w:p>
    <w:p w14:paraId="546DEB2F" w14:textId="77777777" w:rsidR="00801D22" w:rsidRDefault="00801D22"/>
    <w:p w14:paraId="17E45C91" w14:textId="77777777" w:rsidR="00801D22" w:rsidRDefault="00801D22"/>
    <w:p w14:paraId="2EBFEF22" w14:textId="77777777" w:rsidR="00801D22" w:rsidRDefault="00801D22"/>
    <w:p w14:paraId="1445B7A2" w14:textId="77777777" w:rsidR="00801D22" w:rsidRDefault="00801D22"/>
    <w:p w14:paraId="51A271E1" w14:textId="77777777" w:rsidR="00801D22" w:rsidRDefault="00801D22"/>
    <w:p w14:paraId="5FF7AF23" w14:textId="77777777" w:rsidR="00801D22" w:rsidRDefault="00801D22"/>
    <w:p w14:paraId="3C06A8DB" w14:textId="77777777" w:rsidR="00801D22" w:rsidRDefault="00FE4B90">
      <w:pPr>
        <w:pStyle w:val="Heading2"/>
        <w:rPr>
          <w:sz w:val="26"/>
          <w:szCs w:val="26"/>
        </w:rPr>
      </w:pPr>
      <w:bookmarkStart w:id="12" w:name="_45u5a6lc85e2" w:colFirst="0" w:colLast="0"/>
      <w:bookmarkEnd w:id="12"/>
      <w:r>
        <w:rPr>
          <w:sz w:val="26"/>
          <w:szCs w:val="26"/>
        </w:rPr>
        <w:lastRenderedPageBreak/>
        <w:t xml:space="preserve">Association of the cutaneous melanoma polygenic risk score with melanoma risk. </w:t>
      </w:r>
    </w:p>
    <w:p w14:paraId="6688BCE9" w14:textId="77777777" w:rsidR="00801D22" w:rsidRDefault="00FE4B90">
      <w:r>
        <w:t>After adjusting for age at diagnosis, sex and the first ten PCs, a one SD increase in the PRS</w:t>
      </w:r>
      <w:r>
        <w:rPr>
          <w:vertAlign w:val="subscript"/>
        </w:rPr>
        <w:t>CM</w:t>
      </w:r>
      <w:r>
        <w:t xml:space="preserve"> was positively associated with CM risk (OR = 1.80, 95% CI = 1.69—1.92,</w:t>
      </w:r>
      <w:r>
        <w:rPr>
          <w:i/>
        </w:rPr>
        <w:t xml:space="preserve"> </w:t>
      </w:r>
      <w:r>
        <w:t xml:space="preserve">P = 8.7 </w:t>
      </w:r>
      <w:r>
        <w:rPr>
          <w:color w:val="2E2E2E"/>
        </w:rPr>
        <w:t>×</w:t>
      </w:r>
      <w:r>
        <w:t xml:space="preserve"> 10</w:t>
      </w:r>
      <w:r>
        <w:rPr>
          <w:vertAlign w:val="superscript"/>
        </w:rPr>
        <w:t>-71</w:t>
      </w:r>
      <w:r>
        <w:t>) in the validation cohort (</w:t>
      </w:r>
      <w:r>
        <w:rPr>
          <w:b/>
        </w:rPr>
        <w:t>Supplementary Figure 3</w:t>
      </w:r>
      <w:r>
        <w:t xml:space="preserve">). The association was largely contributed, but not entirely driven by the pigmentation and </w:t>
      </w:r>
      <w:proofErr w:type="spellStart"/>
      <w:r>
        <w:t>naevus</w:t>
      </w:r>
      <w:proofErr w:type="spellEnd"/>
      <w:r>
        <w:t xml:space="preserve"> pathways. The PRS</w:t>
      </w:r>
      <w:r>
        <w:rPr>
          <w:vertAlign w:val="subscript"/>
        </w:rPr>
        <w:t>CM</w:t>
      </w:r>
      <w:r>
        <w:t xml:space="preserve"> models without the </w:t>
      </w:r>
      <w:proofErr w:type="spellStart"/>
      <w:r>
        <w:t>naevus</w:t>
      </w:r>
      <w:proofErr w:type="spellEnd"/>
      <w:r>
        <w:t xml:space="preserve"> and pigmentation genomic regions were still associated with increased risk of CM (</w:t>
      </w:r>
      <w:proofErr w:type="spellStart"/>
      <w:proofErr w:type="gramStart"/>
      <w:r>
        <w:t>PRS</w:t>
      </w:r>
      <w:r>
        <w:rPr>
          <w:b/>
          <w:vertAlign w:val="subscript"/>
        </w:rPr>
        <w:t>CMexN</w:t>
      </w:r>
      <w:proofErr w:type="spellEnd"/>
      <w:r>
        <w:rPr>
          <w:vertAlign w:val="subscript"/>
        </w:rPr>
        <w:t xml:space="preserve"> </w:t>
      </w:r>
      <w:r>
        <w:t>;</w:t>
      </w:r>
      <w:proofErr w:type="gramEnd"/>
      <w:r>
        <w:t xml:space="preserve"> OR = 1.53, 95% CI = 1.43—1.64, P = 3.99 × 10</w:t>
      </w:r>
      <w:r>
        <w:rPr>
          <w:vertAlign w:val="superscript"/>
        </w:rPr>
        <w:t>-37</w:t>
      </w:r>
      <w:r>
        <w:t xml:space="preserve"> and </w:t>
      </w:r>
      <w:proofErr w:type="spellStart"/>
      <w:r>
        <w:t>PRS</w:t>
      </w:r>
      <w:r>
        <w:rPr>
          <w:b/>
          <w:vertAlign w:val="subscript"/>
        </w:rPr>
        <w:t>CMexP</w:t>
      </w:r>
      <w:proofErr w:type="spellEnd"/>
      <w:r>
        <w:t>; OR = 1.35, 1.27—1.43, P = 2.46 × 10</w:t>
      </w:r>
      <w:r>
        <w:rPr>
          <w:vertAlign w:val="superscript"/>
        </w:rPr>
        <w:t>-24</w:t>
      </w:r>
      <w:r>
        <w:t xml:space="preserve">). The </w:t>
      </w:r>
      <w:proofErr w:type="spellStart"/>
      <w:r>
        <w:t>naevus</w:t>
      </w:r>
      <w:proofErr w:type="spellEnd"/>
      <w:r>
        <w:t xml:space="preserve"> count, skin colour (pigmentation) and telomere length PRSs were also associated with increased risk melanoma (PRS</w:t>
      </w:r>
      <w:r>
        <w:rPr>
          <w:b/>
          <w:vertAlign w:val="subscript"/>
        </w:rPr>
        <w:t>N</w:t>
      </w:r>
      <w:r>
        <w:t>; OR = 1.16, 95% CI = 1.09—1.22, P = 6.32 × 10</w:t>
      </w:r>
      <w:r>
        <w:rPr>
          <w:vertAlign w:val="superscript"/>
        </w:rPr>
        <w:t>-7</w:t>
      </w:r>
      <w:r>
        <w:t>, PRS</w:t>
      </w:r>
      <w:r>
        <w:rPr>
          <w:b/>
          <w:vertAlign w:val="subscript"/>
        </w:rPr>
        <w:t>P</w:t>
      </w:r>
      <w:r>
        <w:t>; OR = 1.22, 95% CI = 1.15—1.30, P = 7.58 × 10</w:t>
      </w:r>
      <w:r>
        <w:rPr>
          <w:vertAlign w:val="superscript"/>
        </w:rPr>
        <w:t>-11</w:t>
      </w:r>
      <w:r>
        <w:t>, and PRS</w:t>
      </w:r>
      <w:r>
        <w:rPr>
          <w:vertAlign w:val="subscript"/>
        </w:rPr>
        <w:t>TL</w:t>
      </w:r>
      <w:r>
        <w:t>; OR = 1.38, 95% CI= 1.05—1.82, P = 0.0230).</w:t>
      </w:r>
    </w:p>
    <w:p w14:paraId="26C4314E" w14:textId="77777777" w:rsidR="00801D22" w:rsidRDefault="00FE4B90">
      <w:r>
        <w:rPr>
          <w:noProof/>
        </w:rPr>
        <w:drawing>
          <wp:inline distT="114300" distB="114300" distL="114300" distR="114300" wp14:anchorId="710C3175" wp14:editId="7BD24339">
            <wp:extent cx="6120000" cy="51054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9"/>
                    <a:srcRect/>
                    <a:stretch>
                      <a:fillRect/>
                    </a:stretch>
                  </pic:blipFill>
                  <pic:spPr>
                    <a:xfrm>
                      <a:off x="0" y="0"/>
                      <a:ext cx="6120000" cy="5105400"/>
                    </a:xfrm>
                    <a:prstGeom prst="rect">
                      <a:avLst/>
                    </a:prstGeom>
                    <a:ln/>
                  </pic:spPr>
                </pic:pic>
              </a:graphicData>
            </a:graphic>
          </wp:inline>
        </w:drawing>
      </w:r>
    </w:p>
    <w:p w14:paraId="4FA43E13" w14:textId="77777777" w:rsidR="00801D22" w:rsidRDefault="00FE4B90">
      <w:pPr>
        <w:rPr>
          <w:b/>
          <w:i/>
        </w:rPr>
      </w:pPr>
      <w:r>
        <w:rPr>
          <w:b/>
          <w:i/>
        </w:rPr>
        <w:lastRenderedPageBreak/>
        <w:t xml:space="preserve">Supplementary Figure 3: The association between polygenic risk scores and the risk of melanoma in QSkin. </w:t>
      </w:r>
    </w:p>
    <w:p w14:paraId="6AEE3657" w14:textId="77777777" w:rsidR="00801D22" w:rsidRDefault="00FE4B90">
      <w:r>
        <w:rPr>
          <w:i/>
        </w:rPr>
        <w:t xml:space="preserve">The x-axis represents the different polygenic risk score (PRS) models represented in red (Full melanoma model), dark green (melanoma model after excluding the </w:t>
      </w:r>
      <w:proofErr w:type="spellStart"/>
      <w:r>
        <w:rPr>
          <w:i/>
        </w:rPr>
        <w:t>naevus</w:t>
      </w:r>
      <w:proofErr w:type="spellEnd"/>
      <w:r>
        <w:rPr>
          <w:i/>
        </w:rPr>
        <w:t xml:space="preserve"> count loci), green (melanoma model after excluding the pigmentation loci), cyan (an independent </w:t>
      </w:r>
      <w:proofErr w:type="spellStart"/>
      <w:r>
        <w:rPr>
          <w:i/>
        </w:rPr>
        <w:t>naevus</w:t>
      </w:r>
      <w:proofErr w:type="spellEnd"/>
      <w:r>
        <w:rPr>
          <w:i/>
        </w:rPr>
        <w:t xml:space="preserve"> count PRS model), blue (an independent skin colour PRS) and pink (an independent telomere PRS). Skin colour phenotype was rank normalised in the order brown, dark olive, light olive, fair and very fair. The y-axis represents the odds ratio for melanoma risk per standard deviation (SD) increase in the respective PRSs. Error bars are the 95% confidence interval for each PRS model. All models were adjusted for age, sex and the first ten principal components.</w:t>
      </w:r>
      <w:r>
        <w:rPr>
          <w:i/>
          <w:highlight w:val="yellow"/>
        </w:rPr>
        <w:t xml:space="preserve"> </w:t>
      </w:r>
    </w:p>
    <w:p w14:paraId="4FA7A6D5" w14:textId="77777777" w:rsidR="00801D22" w:rsidRDefault="00801D22"/>
    <w:p w14:paraId="6DB823B3" w14:textId="77777777" w:rsidR="00801D22" w:rsidRDefault="00801D22">
      <w:pPr>
        <w:rPr>
          <w:b/>
        </w:rPr>
      </w:pPr>
    </w:p>
    <w:p w14:paraId="4C3E8090" w14:textId="77777777" w:rsidR="00801D22" w:rsidRDefault="00FE4B90">
      <w:pPr>
        <w:pStyle w:val="Heading2"/>
      </w:pPr>
      <w:bookmarkStart w:id="13" w:name="_e161bikilxb0" w:colFirst="0" w:colLast="0"/>
      <w:bookmarkEnd w:id="13"/>
      <w:r>
        <w:t>Melanoma prognostic factors, PRS and survival</w:t>
      </w:r>
    </w:p>
    <w:p w14:paraId="14D6FBF1" w14:textId="77777777" w:rsidR="00801D22" w:rsidRDefault="00FE4B90">
      <w:r>
        <w:rPr>
          <w:color w:val="2E2E2E"/>
        </w:rPr>
        <w:t xml:space="preserve"> The </w:t>
      </w:r>
      <w:r w:rsidRPr="0086737B">
        <w:rPr>
          <w:color w:val="2E2E2E"/>
        </w:rPr>
        <w:t>PRS_susceptibility</w:t>
      </w:r>
      <w:r>
        <w:rPr>
          <w:color w:val="2E2E2E"/>
        </w:rPr>
        <w:t xml:space="preserve"> was also not a predictor of advanced tumour stage (I/II- no, and III/IV- yes) (OR =1.02 95%CI= 0.94- 1.10, P= 0.64357) and primary tumour thickness (thin -no, and thick -yes,) (OR</w:t>
      </w:r>
      <w:r w:rsidR="00B85068">
        <w:rPr>
          <w:color w:val="2E2E2E"/>
        </w:rPr>
        <w:t xml:space="preserve"> </w:t>
      </w:r>
      <w:r>
        <w:rPr>
          <w:color w:val="2E2E2E"/>
        </w:rPr>
        <w:t>= 1.003, 95%CI= 0.95-1.06, P= 0.89580). Yet advanced tumour stage and primary tumour thickness (as expected) were strong predictive factors for MSS (advanced stage; HR =</w:t>
      </w:r>
      <w:r>
        <w:t>3.12, 95%CI= 2.63 - 3.70, P = 5.97 x10</w:t>
      </w:r>
      <w:r>
        <w:rPr>
          <w:vertAlign w:val="superscript"/>
        </w:rPr>
        <w:t>-40</w:t>
      </w:r>
      <w:r>
        <w:t>; adjusted for age, sex, tumour thickness and 10 PCs, and tumour thickness (thick vs thin); HR = 2.00, 95%CI=1.63- 2.47, P= 6.93 x 10</w:t>
      </w:r>
      <w:r>
        <w:rPr>
          <w:vertAlign w:val="superscript"/>
        </w:rPr>
        <w:t>-11</w:t>
      </w:r>
      <w:r>
        <w:t xml:space="preserve">). </w:t>
      </w:r>
    </w:p>
    <w:p w14:paraId="168C080C" w14:textId="77777777" w:rsidR="00801D22" w:rsidRDefault="00801D22"/>
    <w:p w14:paraId="151D7061" w14:textId="77777777" w:rsidR="00801D22" w:rsidRDefault="00FE4B90">
      <w:pPr>
        <w:pStyle w:val="Heading2"/>
        <w:rPr>
          <w:sz w:val="26"/>
          <w:szCs w:val="26"/>
        </w:rPr>
      </w:pPr>
      <w:bookmarkStart w:id="14" w:name="_wcqdf0sj9uo9" w:colFirst="0" w:colLast="0"/>
      <w:bookmarkEnd w:id="14"/>
      <w:r>
        <w:rPr>
          <w:sz w:val="26"/>
          <w:szCs w:val="26"/>
        </w:rPr>
        <w:t xml:space="preserve">Variation of MSS across PRS quartile in </w:t>
      </w:r>
      <w:r w:rsidR="00B85068">
        <w:rPr>
          <w:sz w:val="26"/>
          <w:szCs w:val="26"/>
        </w:rPr>
        <w:t xml:space="preserve">the </w:t>
      </w:r>
      <w:r>
        <w:rPr>
          <w:sz w:val="26"/>
          <w:szCs w:val="26"/>
        </w:rPr>
        <w:t>MIA cohort</w:t>
      </w:r>
    </w:p>
    <w:p w14:paraId="256CFFAC" w14:textId="77777777" w:rsidR="00801D22" w:rsidRDefault="00FE4B90">
      <w:pPr>
        <w:spacing w:after="200"/>
      </w:pPr>
      <w:r>
        <w:t xml:space="preserve">Compared to the bottom quartile (Q1), participants in the top quartile (Q4) with the highest genetic risk for CM were 38% less likely to die due to melanoma (HR = 0.62, 95% CI = 0.51-0.76, </w:t>
      </w:r>
      <w:r>
        <w:rPr>
          <w:i/>
        </w:rPr>
        <w:t>P</w:t>
      </w:r>
      <w:r>
        <w:t xml:space="preserve"> = 2.34 × 10</w:t>
      </w:r>
      <w:r>
        <w:rPr>
          <w:vertAlign w:val="superscript"/>
        </w:rPr>
        <w:t>-6</w:t>
      </w:r>
      <w:r>
        <w:t>) (</w:t>
      </w:r>
      <w:r>
        <w:rPr>
          <w:b/>
        </w:rPr>
        <w:t>Supplementary Figure 4</w:t>
      </w:r>
      <w:r>
        <w:t>).</w:t>
      </w:r>
    </w:p>
    <w:p w14:paraId="6199396E" w14:textId="77777777" w:rsidR="00801D22" w:rsidRDefault="00FE4B90">
      <w:r>
        <w:rPr>
          <w:noProof/>
        </w:rPr>
        <w:lastRenderedPageBreak/>
        <w:drawing>
          <wp:inline distT="114300" distB="114300" distL="114300" distR="114300" wp14:anchorId="4C69E668" wp14:editId="15B8F1A2">
            <wp:extent cx="3987737" cy="3997681"/>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a:stretch>
                      <a:fillRect/>
                    </a:stretch>
                  </pic:blipFill>
                  <pic:spPr>
                    <a:xfrm>
                      <a:off x="0" y="0"/>
                      <a:ext cx="3987737" cy="3997681"/>
                    </a:xfrm>
                    <a:prstGeom prst="rect">
                      <a:avLst/>
                    </a:prstGeom>
                    <a:ln/>
                  </pic:spPr>
                </pic:pic>
              </a:graphicData>
            </a:graphic>
          </wp:inline>
        </w:drawing>
      </w:r>
    </w:p>
    <w:p w14:paraId="4E3D29E5" w14:textId="77777777" w:rsidR="00801D22" w:rsidRDefault="00FE4B90">
      <w:pPr>
        <w:rPr>
          <w:b/>
          <w:i/>
        </w:rPr>
      </w:pPr>
      <w:r>
        <w:rPr>
          <w:b/>
          <w:i/>
        </w:rPr>
        <w:t xml:space="preserve">Supplementary Figure 4: The association by quartile of polygenic risk for melanoma susceptibility and melanoma specific survival in the MIA cohort </w:t>
      </w:r>
    </w:p>
    <w:p w14:paraId="1B7D167A" w14:textId="77777777" w:rsidR="00801D22" w:rsidRDefault="00FE4B90">
      <w:pPr>
        <w:rPr>
          <w:b/>
        </w:rPr>
      </w:pPr>
      <w:r>
        <w:rPr>
          <w:i/>
        </w:rPr>
        <w:t xml:space="preserve">This analysis of the MIA cohort includes </w:t>
      </w:r>
      <w:r>
        <w:t xml:space="preserve">5,762 patients, of which 800 died from melanoma. </w:t>
      </w:r>
      <w:r>
        <w:rPr>
          <w:i/>
        </w:rPr>
        <w:t xml:space="preserve">The x-axis represents the different quartiles for the CM polygenic risk score (PRS) from Q1 to Q4. The y-axis represents the hazard ratio (HR) and the 95% confidence interval (CI) computed </w:t>
      </w:r>
      <w:r>
        <w:rPr>
          <w:i/>
          <w:color w:val="222222"/>
          <w:highlight w:val="white"/>
        </w:rPr>
        <w:t>using Cox proportional-hazards models</w:t>
      </w:r>
      <w:r>
        <w:rPr>
          <w:i/>
        </w:rPr>
        <w:t xml:space="preserve"> for each quartile adjusting for age at diagnosis, sex, 10 PCs and genotype batch effects.</w:t>
      </w:r>
    </w:p>
    <w:p w14:paraId="28D40975" w14:textId="77777777" w:rsidR="00801D22" w:rsidRDefault="00801D22">
      <w:pPr>
        <w:rPr>
          <w:b/>
        </w:rPr>
      </w:pPr>
    </w:p>
    <w:p w14:paraId="697B9DC0" w14:textId="77777777" w:rsidR="00801D22" w:rsidRDefault="00801D22">
      <w:pPr>
        <w:rPr>
          <w:b/>
        </w:rPr>
      </w:pPr>
    </w:p>
    <w:p w14:paraId="465FBD32" w14:textId="77777777" w:rsidR="00801D22" w:rsidRDefault="00801D22">
      <w:pPr>
        <w:rPr>
          <w:b/>
        </w:rPr>
      </w:pPr>
    </w:p>
    <w:p w14:paraId="61E9F6F6" w14:textId="77777777" w:rsidR="00801D22" w:rsidRDefault="00801D22">
      <w:pPr>
        <w:rPr>
          <w:b/>
        </w:rPr>
      </w:pPr>
    </w:p>
    <w:p w14:paraId="67B4265D" w14:textId="77777777" w:rsidR="00801D22" w:rsidRDefault="00801D22">
      <w:pPr>
        <w:rPr>
          <w:b/>
        </w:rPr>
      </w:pPr>
    </w:p>
    <w:p w14:paraId="0530A650" w14:textId="77777777" w:rsidR="00801D22" w:rsidRDefault="00FE4B90">
      <w:pPr>
        <w:rPr>
          <w:b/>
        </w:rPr>
      </w:pPr>
      <w:r>
        <w:rPr>
          <w:b/>
        </w:rPr>
        <w:lastRenderedPageBreak/>
        <w:t xml:space="preserve">Supplementary Figure 5: Association of standalone skin colour and </w:t>
      </w:r>
      <w:proofErr w:type="spellStart"/>
      <w:r>
        <w:rPr>
          <w:b/>
        </w:rPr>
        <w:t>naevus</w:t>
      </w:r>
      <w:proofErr w:type="spellEnd"/>
      <w:r>
        <w:rPr>
          <w:b/>
        </w:rPr>
        <w:t xml:space="preserve"> PRSs and melanoma specific survival in MIA and UKB. </w:t>
      </w:r>
    </w:p>
    <w:p w14:paraId="36690D73" w14:textId="77777777" w:rsidR="00801D22" w:rsidRDefault="00FE4B90">
      <w:pPr>
        <w:rPr>
          <w:b/>
        </w:rPr>
      </w:pPr>
      <w:r>
        <w:rPr>
          <w:noProof/>
        </w:rPr>
        <w:drawing>
          <wp:inline distT="114300" distB="114300" distL="114300" distR="114300" wp14:anchorId="731AA31F" wp14:editId="5FF0E335">
            <wp:extent cx="5943600" cy="28956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1"/>
                    <a:srcRect/>
                    <a:stretch>
                      <a:fillRect/>
                    </a:stretch>
                  </pic:blipFill>
                  <pic:spPr>
                    <a:xfrm>
                      <a:off x="0" y="0"/>
                      <a:ext cx="5943600" cy="2895600"/>
                    </a:xfrm>
                    <a:prstGeom prst="rect">
                      <a:avLst/>
                    </a:prstGeom>
                    <a:ln/>
                  </pic:spPr>
                </pic:pic>
              </a:graphicData>
            </a:graphic>
          </wp:inline>
        </w:drawing>
      </w:r>
    </w:p>
    <w:p w14:paraId="7735CC11" w14:textId="77777777" w:rsidR="00801D22" w:rsidRDefault="00801D22">
      <w:pPr>
        <w:pStyle w:val="Heading1"/>
      </w:pPr>
      <w:bookmarkStart w:id="15" w:name="_x2dyekyhaj7u" w:colFirst="0" w:colLast="0"/>
      <w:bookmarkEnd w:id="15"/>
    </w:p>
    <w:p w14:paraId="65E29977" w14:textId="77777777" w:rsidR="00801D22" w:rsidRDefault="00801D22"/>
    <w:p w14:paraId="41265CA5" w14:textId="77777777" w:rsidR="00801D22" w:rsidRDefault="00801D22"/>
    <w:p w14:paraId="77BD0DCA" w14:textId="77777777" w:rsidR="00801D22" w:rsidRDefault="00801D22">
      <w:pPr>
        <w:rPr>
          <w:i/>
        </w:rPr>
      </w:pPr>
    </w:p>
    <w:p w14:paraId="2AC6F525" w14:textId="77777777" w:rsidR="00801D22" w:rsidRDefault="00FE4B90">
      <w:r>
        <w:br w:type="page"/>
      </w:r>
    </w:p>
    <w:p w14:paraId="2DB76289" w14:textId="77777777" w:rsidR="00801D22" w:rsidRDefault="00FE4B90">
      <w:pPr>
        <w:pStyle w:val="Heading1"/>
      </w:pPr>
      <w:bookmarkStart w:id="16" w:name="_d3poqglhuoqz" w:colFirst="0" w:colLast="0"/>
      <w:bookmarkEnd w:id="16"/>
      <w:r>
        <w:lastRenderedPageBreak/>
        <w:t>SUPPLEMENTARY REFERENCES</w:t>
      </w:r>
    </w:p>
    <w:p w14:paraId="6F4BF04B" w14:textId="77777777" w:rsidR="00801D22" w:rsidRDefault="008C583F">
      <w:pPr>
        <w:widowControl w:val="0"/>
        <w:pBdr>
          <w:top w:val="nil"/>
          <w:left w:val="nil"/>
          <w:bottom w:val="nil"/>
          <w:right w:val="nil"/>
          <w:between w:val="nil"/>
        </w:pBdr>
        <w:spacing w:before="220" w:after="0" w:line="240" w:lineRule="auto"/>
        <w:ind w:left="440" w:hanging="440"/>
        <w:jc w:val="left"/>
        <w:rPr>
          <w:color w:val="000000"/>
          <w:sz w:val="22"/>
          <w:szCs w:val="22"/>
        </w:rPr>
      </w:pPr>
      <w:hyperlink r:id="rId42">
        <w:r w:rsidR="00FE4B90">
          <w:rPr>
            <w:color w:val="000000"/>
            <w:sz w:val="22"/>
            <w:szCs w:val="22"/>
          </w:rPr>
          <w:t xml:space="preserve">Chang, Christopher C., Carson C. Chow, Laurent Cam Tellier, </w:t>
        </w:r>
        <w:proofErr w:type="spellStart"/>
        <w:r w:rsidR="00FE4B90">
          <w:rPr>
            <w:color w:val="000000"/>
            <w:sz w:val="22"/>
            <w:szCs w:val="22"/>
          </w:rPr>
          <w:t>Shashaank</w:t>
        </w:r>
        <w:proofErr w:type="spellEnd"/>
        <w:r w:rsidR="00FE4B90">
          <w:rPr>
            <w:color w:val="000000"/>
            <w:sz w:val="22"/>
            <w:szCs w:val="22"/>
          </w:rPr>
          <w:t xml:space="preserve"> </w:t>
        </w:r>
        <w:proofErr w:type="spellStart"/>
        <w:r w:rsidR="00FE4B90">
          <w:rPr>
            <w:color w:val="000000"/>
            <w:sz w:val="22"/>
            <w:szCs w:val="22"/>
          </w:rPr>
          <w:t>Vattikuti</w:t>
        </w:r>
        <w:proofErr w:type="spellEnd"/>
        <w:r w:rsidR="00FE4B90">
          <w:rPr>
            <w:color w:val="000000"/>
            <w:sz w:val="22"/>
            <w:szCs w:val="22"/>
          </w:rPr>
          <w:t xml:space="preserve">, Shaun M. Purcell, and James J. Lee. 2015. “Second-Generation PLINK: Rising to the Challenge of Larger and Richer Datasets.” </w:t>
        </w:r>
      </w:hyperlink>
      <w:hyperlink r:id="rId43">
        <w:proofErr w:type="spellStart"/>
        <w:r w:rsidR="00FE4B90">
          <w:rPr>
            <w:i/>
            <w:color w:val="000000"/>
            <w:sz w:val="22"/>
            <w:szCs w:val="22"/>
          </w:rPr>
          <w:t>GigaScience</w:t>
        </w:r>
        <w:proofErr w:type="spellEnd"/>
      </w:hyperlink>
      <w:hyperlink r:id="rId44">
        <w:r w:rsidR="00FE4B90">
          <w:rPr>
            <w:color w:val="000000"/>
            <w:sz w:val="22"/>
            <w:szCs w:val="22"/>
          </w:rPr>
          <w:t xml:space="preserve"> 4 (February): 7.</w:t>
        </w:r>
      </w:hyperlink>
    </w:p>
    <w:p w14:paraId="4F4E54DF" w14:textId="77777777" w:rsidR="00801D22" w:rsidRDefault="008C583F">
      <w:pPr>
        <w:widowControl w:val="0"/>
        <w:pBdr>
          <w:top w:val="nil"/>
          <w:left w:val="nil"/>
          <w:bottom w:val="nil"/>
          <w:right w:val="nil"/>
          <w:between w:val="nil"/>
        </w:pBdr>
        <w:spacing w:after="0" w:line="240" w:lineRule="auto"/>
        <w:ind w:left="440" w:hanging="440"/>
        <w:jc w:val="left"/>
        <w:rPr>
          <w:color w:val="000000"/>
          <w:sz w:val="22"/>
          <w:szCs w:val="22"/>
        </w:rPr>
      </w:pPr>
      <w:hyperlink r:id="rId45">
        <w:r w:rsidR="00FE4B90">
          <w:rPr>
            <w:color w:val="000000"/>
            <w:sz w:val="22"/>
            <w:szCs w:val="22"/>
          </w:rPr>
          <w:t xml:space="preserve">Duffy, David L., Gu Zhu, Xin Li, Marianna </w:t>
        </w:r>
        <w:proofErr w:type="spellStart"/>
        <w:r w:rsidR="00FE4B90">
          <w:rPr>
            <w:color w:val="000000"/>
            <w:sz w:val="22"/>
            <w:szCs w:val="22"/>
          </w:rPr>
          <w:t>Sanna</w:t>
        </w:r>
        <w:proofErr w:type="spellEnd"/>
        <w:r w:rsidR="00FE4B90">
          <w:rPr>
            <w:color w:val="000000"/>
            <w:sz w:val="22"/>
            <w:szCs w:val="22"/>
          </w:rPr>
          <w:t xml:space="preserve">, Mark M. Iles, Leonie C. Jacobs, David M. Evans, et al. 2018. “Novel Pleiotropic Risk Loci for Melanoma and Nevus Density Implicate Multiple Biological Pathways.” </w:t>
        </w:r>
      </w:hyperlink>
      <w:hyperlink r:id="rId46">
        <w:r w:rsidR="00FE4B90">
          <w:rPr>
            <w:i/>
            <w:color w:val="000000"/>
            <w:sz w:val="22"/>
            <w:szCs w:val="22"/>
          </w:rPr>
          <w:t>Nature Communications</w:t>
        </w:r>
      </w:hyperlink>
      <w:hyperlink r:id="rId47">
        <w:r w:rsidR="00FE4B90">
          <w:rPr>
            <w:color w:val="000000"/>
            <w:sz w:val="22"/>
            <w:szCs w:val="22"/>
          </w:rPr>
          <w:t xml:space="preserve"> 9 (1): 4774.</w:t>
        </w:r>
      </w:hyperlink>
    </w:p>
    <w:p w14:paraId="0B1AD0F2" w14:textId="77777777" w:rsidR="00801D22" w:rsidRDefault="008C583F">
      <w:pPr>
        <w:widowControl w:val="0"/>
        <w:pBdr>
          <w:top w:val="nil"/>
          <w:left w:val="nil"/>
          <w:bottom w:val="nil"/>
          <w:right w:val="nil"/>
          <w:between w:val="nil"/>
        </w:pBdr>
        <w:spacing w:after="0" w:line="240" w:lineRule="auto"/>
        <w:ind w:left="440" w:hanging="440"/>
        <w:jc w:val="left"/>
        <w:rPr>
          <w:color w:val="000000"/>
          <w:sz w:val="22"/>
          <w:szCs w:val="22"/>
        </w:rPr>
      </w:pPr>
      <w:hyperlink r:id="rId48">
        <w:r w:rsidR="00FE4B90">
          <w:rPr>
            <w:color w:val="000000"/>
            <w:sz w:val="22"/>
            <w:szCs w:val="22"/>
          </w:rPr>
          <w:t xml:space="preserve">Landi, Maria Teresa, D. Timothy Bishop, Stuart MacGregor, Mitchell J. </w:t>
        </w:r>
        <w:proofErr w:type="spellStart"/>
        <w:r w:rsidR="00FE4B90">
          <w:rPr>
            <w:color w:val="000000"/>
            <w:sz w:val="22"/>
            <w:szCs w:val="22"/>
          </w:rPr>
          <w:t>Machiela</w:t>
        </w:r>
        <w:proofErr w:type="spellEnd"/>
        <w:r w:rsidR="00FE4B90">
          <w:rPr>
            <w:color w:val="000000"/>
            <w:sz w:val="22"/>
            <w:szCs w:val="22"/>
          </w:rPr>
          <w:t xml:space="preserve">, Alexander J. Stratigos, Paola </w:t>
        </w:r>
        <w:proofErr w:type="spellStart"/>
        <w:r w:rsidR="00FE4B90">
          <w:rPr>
            <w:color w:val="000000"/>
            <w:sz w:val="22"/>
            <w:szCs w:val="22"/>
          </w:rPr>
          <w:t>Ghiorzo</w:t>
        </w:r>
        <w:proofErr w:type="spellEnd"/>
        <w:r w:rsidR="00FE4B90">
          <w:rPr>
            <w:color w:val="000000"/>
            <w:sz w:val="22"/>
            <w:szCs w:val="22"/>
          </w:rPr>
          <w:t xml:space="preserve">, Myriam Brossard, et al. 2020. “Genome-Wide Association Meta-Analyses Combining Multiple Risk Phenotypes Provide Insights into the Genetic Architecture of Cutaneous Melanoma Susceptibility.” </w:t>
        </w:r>
      </w:hyperlink>
      <w:hyperlink r:id="rId49">
        <w:r w:rsidR="00FE4B90">
          <w:rPr>
            <w:i/>
            <w:color w:val="000000"/>
            <w:sz w:val="22"/>
            <w:szCs w:val="22"/>
          </w:rPr>
          <w:t>Nature Genetics</w:t>
        </w:r>
      </w:hyperlink>
      <w:hyperlink r:id="rId50">
        <w:r w:rsidR="00FE4B90">
          <w:rPr>
            <w:color w:val="000000"/>
            <w:sz w:val="22"/>
            <w:szCs w:val="22"/>
          </w:rPr>
          <w:t xml:space="preserve"> 52 (5): 494–504.</w:t>
        </w:r>
      </w:hyperlink>
    </w:p>
    <w:p w14:paraId="1ECE96E7" w14:textId="77777777" w:rsidR="00801D22" w:rsidRDefault="008C583F">
      <w:pPr>
        <w:widowControl w:val="0"/>
        <w:pBdr>
          <w:top w:val="nil"/>
          <w:left w:val="nil"/>
          <w:bottom w:val="nil"/>
          <w:right w:val="nil"/>
          <w:between w:val="nil"/>
        </w:pBdr>
        <w:spacing w:after="0" w:line="240" w:lineRule="auto"/>
        <w:ind w:left="440" w:hanging="440"/>
        <w:jc w:val="left"/>
        <w:rPr>
          <w:color w:val="000000"/>
          <w:sz w:val="22"/>
          <w:szCs w:val="22"/>
        </w:rPr>
      </w:pPr>
      <w:hyperlink r:id="rId51">
        <w:proofErr w:type="spellStart"/>
        <w:r w:rsidR="00FE4B90">
          <w:rPr>
            <w:color w:val="000000"/>
            <w:sz w:val="22"/>
            <w:szCs w:val="22"/>
          </w:rPr>
          <w:t>Loh</w:t>
        </w:r>
        <w:proofErr w:type="spellEnd"/>
        <w:r w:rsidR="00FE4B90">
          <w:rPr>
            <w:color w:val="000000"/>
            <w:sz w:val="22"/>
            <w:szCs w:val="22"/>
          </w:rPr>
          <w:t xml:space="preserve">, Po-Ru, George Tucker, Brendan K. </w:t>
        </w:r>
        <w:proofErr w:type="spellStart"/>
        <w:r w:rsidR="00FE4B90">
          <w:rPr>
            <w:color w:val="000000"/>
            <w:sz w:val="22"/>
            <w:szCs w:val="22"/>
          </w:rPr>
          <w:t>Bulik</w:t>
        </w:r>
        <w:proofErr w:type="spellEnd"/>
        <w:r w:rsidR="00FE4B90">
          <w:rPr>
            <w:color w:val="000000"/>
            <w:sz w:val="22"/>
            <w:szCs w:val="22"/>
          </w:rPr>
          <w:t xml:space="preserve">-Sullivan, </w:t>
        </w:r>
        <w:proofErr w:type="spellStart"/>
        <w:r w:rsidR="00FE4B90">
          <w:rPr>
            <w:color w:val="000000"/>
            <w:sz w:val="22"/>
            <w:szCs w:val="22"/>
          </w:rPr>
          <w:t>Bjarni</w:t>
        </w:r>
        <w:proofErr w:type="spellEnd"/>
        <w:r w:rsidR="00FE4B90">
          <w:rPr>
            <w:color w:val="000000"/>
            <w:sz w:val="22"/>
            <w:szCs w:val="22"/>
          </w:rPr>
          <w:t xml:space="preserve"> J. </w:t>
        </w:r>
        <w:proofErr w:type="spellStart"/>
        <w:r w:rsidR="00FE4B90">
          <w:rPr>
            <w:color w:val="000000"/>
            <w:sz w:val="22"/>
            <w:szCs w:val="22"/>
          </w:rPr>
          <w:t>Vilhjálmsson</w:t>
        </w:r>
        <w:proofErr w:type="spellEnd"/>
        <w:r w:rsidR="00FE4B90">
          <w:rPr>
            <w:color w:val="000000"/>
            <w:sz w:val="22"/>
            <w:szCs w:val="22"/>
          </w:rPr>
          <w:t xml:space="preserve">, Hilary K. Finucane, </w:t>
        </w:r>
        <w:proofErr w:type="spellStart"/>
        <w:r w:rsidR="00FE4B90">
          <w:rPr>
            <w:color w:val="000000"/>
            <w:sz w:val="22"/>
            <w:szCs w:val="22"/>
          </w:rPr>
          <w:t>Rany</w:t>
        </w:r>
        <w:proofErr w:type="spellEnd"/>
        <w:r w:rsidR="00FE4B90">
          <w:rPr>
            <w:color w:val="000000"/>
            <w:sz w:val="22"/>
            <w:szCs w:val="22"/>
          </w:rPr>
          <w:t xml:space="preserve"> M. Salem, Daniel I. </w:t>
        </w:r>
        <w:proofErr w:type="spellStart"/>
        <w:r w:rsidR="00FE4B90">
          <w:rPr>
            <w:color w:val="000000"/>
            <w:sz w:val="22"/>
            <w:szCs w:val="22"/>
          </w:rPr>
          <w:t>Chasman</w:t>
        </w:r>
        <w:proofErr w:type="spellEnd"/>
        <w:r w:rsidR="00FE4B90">
          <w:rPr>
            <w:color w:val="000000"/>
            <w:sz w:val="22"/>
            <w:szCs w:val="22"/>
          </w:rPr>
          <w:t xml:space="preserve">, et al. 2015. “Efficient Bayesian Mixed-Model Analysis Increases Association Power in Large Cohorts.” </w:t>
        </w:r>
      </w:hyperlink>
      <w:hyperlink r:id="rId52">
        <w:r w:rsidR="00FE4B90">
          <w:rPr>
            <w:i/>
            <w:color w:val="000000"/>
            <w:sz w:val="22"/>
            <w:szCs w:val="22"/>
          </w:rPr>
          <w:t>Nature Genetics</w:t>
        </w:r>
      </w:hyperlink>
      <w:hyperlink r:id="rId53">
        <w:r w:rsidR="00FE4B90">
          <w:rPr>
            <w:color w:val="000000"/>
            <w:sz w:val="22"/>
            <w:szCs w:val="22"/>
          </w:rPr>
          <w:t xml:space="preserve"> 47 (3): 284–90.</w:t>
        </w:r>
      </w:hyperlink>
    </w:p>
    <w:p w14:paraId="767FDE3A" w14:textId="77777777" w:rsidR="00801D22" w:rsidRDefault="008C583F">
      <w:pPr>
        <w:widowControl w:val="0"/>
        <w:pBdr>
          <w:top w:val="nil"/>
          <w:left w:val="nil"/>
          <w:bottom w:val="nil"/>
          <w:right w:val="nil"/>
          <w:between w:val="nil"/>
        </w:pBdr>
        <w:spacing w:after="0" w:line="240" w:lineRule="auto"/>
        <w:ind w:left="440" w:hanging="440"/>
        <w:jc w:val="left"/>
        <w:rPr>
          <w:color w:val="000000"/>
          <w:sz w:val="22"/>
          <w:szCs w:val="22"/>
        </w:rPr>
      </w:pPr>
      <w:hyperlink r:id="rId54">
        <w:r w:rsidR="00FE4B90">
          <w:rPr>
            <w:color w:val="000000"/>
            <w:sz w:val="22"/>
            <w:szCs w:val="22"/>
          </w:rPr>
          <w:t xml:space="preserve">Nagelkerke, N. J. D. 1991. “A Note on a General Definition of the Coefficient of Determination.” </w:t>
        </w:r>
      </w:hyperlink>
      <w:hyperlink r:id="rId55">
        <w:proofErr w:type="spellStart"/>
        <w:r w:rsidR="00FE4B90">
          <w:rPr>
            <w:i/>
            <w:color w:val="000000"/>
            <w:sz w:val="22"/>
            <w:szCs w:val="22"/>
          </w:rPr>
          <w:t>Biometrika</w:t>
        </w:r>
        <w:proofErr w:type="spellEnd"/>
      </w:hyperlink>
      <w:hyperlink r:id="rId56">
        <w:r w:rsidR="00FE4B90">
          <w:rPr>
            <w:color w:val="000000"/>
            <w:sz w:val="22"/>
            <w:szCs w:val="22"/>
          </w:rPr>
          <w:t xml:space="preserve"> 78 (3): 691–92.</w:t>
        </w:r>
      </w:hyperlink>
    </w:p>
    <w:p w14:paraId="227D4DC2" w14:textId="77777777" w:rsidR="00801D22" w:rsidRDefault="008C583F">
      <w:pPr>
        <w:widowControl w:val="0"/>
        <w:pBdr>
          <w:top w:val="nil"/>
          <w:left w:val="nil"/>
          <w:bottom w:val="nil"/>
          <w:right w:val="nil"/>
          <w:between w:val="nil"/>
        </w:pBdr>
        <w:spacing w:after="220" w:line="240" w:lineRule="auto"/>
        <w:ind w:left="440" w:hanging="440"/>
        <w:jc w:val="left"/>
        <w:rPr>
          <w:color w:val="000000"/>
          <w:sz w:val="22"/>
          <w:szCs w:val="22"/>
        </w:rPr>
      </w:pPr>
      <w:hyperlink r:id="rId57">
        <w:proofErr w:type="spellStart"/>
        <w:r w:rsidR="00FE4B90">
          <w:rPr>
            <w:color w:val="000000"/>
            <w:sz w:val="22"/>
            <w:szCs w:val="22"/>
          </w:rPr>
          <w:t>Vilhjálmsson</w:t>
        </w:r>
        <w:proofErr w:type="spellEnd"/>
        <w:r w:rsidR="00FE4B90">
          <w:rPr>
            <w:color w:val="000000"/>
            <w:sz w:val="22"/>
            <w:szCs w:val="22"/>
          </w:rPr>
          <w:t xml:space="preserve">, </w:t>
        </w:r>
        <w:proofErr w:type="spellStart"/>
        <w:r w:rsidR="00FE4B90">
          <w:rPr>
            <w:color w:val="000000"/>
            <w:sz w:val="22"/>
            <w:szCs w:val="22"/>
          </w:rPr>
          <w:t>Bjarni</w:t>
        </w:r>
        <w:proofErr w:type="spellEnd"/>
        <w:r w:rsidR="00FE4B90">
          <w:rPr>
            <w:color w:val="000000"/>
            <w:sz w:val="22"/>
            <w:szCs w:val="22"/>
          </w:rPr>
          <w:t xml:space="preserve"> J., Jian Yang, Hilary K. Finucane, Alexander </w:t>
        </w:r>
        <w:proofErr w:type="spellStart"/>
        <w:r w:rsidR="00FE4B90">
          <w:rPr>
            <w:color w:val="000000"/>
            <w:sz w:val="22"/>
            <w:szCs w:val="22"/>
          </w:rPr>
          <w:t>Gusev</w:t>
        </w:r>
        <w:proofErr w:type="spellEnd"/>
        <w:r w:rsidR="00FE4B90">
          <w:rPr>
            <w:color w:val="000000"/>
            <w:sz w:val="22"/>
            <w:szCs w:val="22"/>
          </w:rPr>
          <w:t xml:space="preserve">, Sara </w:t>
        </w:r>
        <w:proofErr w:type="spellStart"/>
        <w:r w:rsidR="00FE4B90">
          <w:rPr>
            <w:color w:val="000000"/>
            <w:sz w:val="22"/>
            <w:szCs w:val="22"/>
          </w:rPr>
          <w:t>Lindström</w:t>
        </w:r>
        <w:proofErr w:type="spellEnd"/>
        <w:r w:rsidR="00FE4B90">
          <w:rPr>
            <w:color w:val="000000"/>
            <w:sz w:val="22"/>
            <w:szCs w:val="22"/>
          </w:rPr>
          <w:t xml:space="preserve">, Stephan </w:t>
        </w:r>
        <w:proofErr w:type="spellStart"/>
        <w:r w:rsidR="00FE4B90">
          <w:rPr>
            <w:color w:val="000000"/>
            <w:sz w:val="22"/>
            <w:szCs w:val="22"/>
          </w:rPr>
          <w:t>Ripke</w:t>
        </w:r>
        <w:proofErr w:type="spellEnd"/>
        <w:r w:rsidR="00FE4B90">
          <w:rPr>
            <w:color w:val="000000"/>
            <w:sz w:val="22"/>
            <w:szCs w:val="22"/>
          </w:rPr>
          <w:t>, Giulio Genovese, et al. 2015. “</w:t>
        </w:r>
        <w:proofErr w:type="spellStart"/>
        <w:r w:rsidR="00FE4B90">
          <w:rPr>
            <w:color w:val="000000"/>
            <w:sz w:val="22"/>
            <w:szCs w:val="22"/>
          </w:rPr>
          <w:t>Modeling</w:t>
        </w:r>
        <w:proofErr w:type="spellEnd"/>
        <w:r w:rsidR="00FE4B90">
          <w:rPr>
            <w:color w:val="000000"/>
            <w:sz w:val="22"/>
            <w:szCs w:val="22"/>
          </w:rPr>
          <w:t xml:space="preserve"> Linkage Disequilibrium Increases Accuracy of Polygenic Risk Scores.” </w:t>
        </w:r>
      </w:hyperlink>
      <w:hyperlink r:id="rId58">
        <w:r w:rsidR="00FE4B90">
          <w:rPr>
            <w:i/>
            <w:color w:val="000000"/>
            <w:sz w:val="22"/>
            <w:szCs w:val="22"/>
          </w:rPr>
          <w:t>American Journal of Human Genetics</w:t>
        </w:r>
      </w:hyperlink>
      <w:hyperlink r:id="rId59">
        <w:r w:rsidR="00FE4B90">
          <w:rPr>
            <w:color w:val="000000"/>
            <w:sz w:val="22"/>
            <w:szCs w:val="22"/>
          </w:rPr>
          <w:t xml:space="preserve"> 97 (4): 576–92.</w:t>
        </w:r>
      </w:hyperlink>
    </w:p>
    <w:p w14:paraId="3C1CDA87" w14:textId="77777777" w:rsidR="00801D22" w:rsidRDefault="00801D22">
      <w:pPr>
        <w:widowControl w:val="0"/>
        <w:pBdr>
          <w:top w:val="nil"/>
          <w:left w:val="nil"/>
          <w:bottom w:val="nil"/>
          <w:right w:val="nil"/>
          <w:between w:val="nil"/>
        </w:pBdr>
        <w:spacing w:after="0" w:line="276" w:lineRule="auto"/>
        <w:jc w:val="left"/>
      </w:pPr>
    </w:p>
    <w:sectPr w:rsidR="00801D22">
      <w:footerReference w:type="default" r:id="rId60"/>
      <w:footerReference w:type="first" r:id="rId61"/>
      <w:pgSz w:w="11906" w:h="16838"/>
      <w:pgMar w:top="1133" w:right="1133" w:bottom="1133" w:left="113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658D" w16cex:dateUtc="2022-02-16T00:59:00Z"/>
  <w16cex:commentExtensible w16cex:durableId="25B76545" w16cex:dateUtc="2022-02-16T00: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A3D1" w14:textId="77777777" w:rsidR="008C583F" w:rsidRDefault="008C583F">
      <w:pPr>
        <w:spacing w:after="0" w:line="240" w:lineRule="auto"/>
      </w:pPr>
      <w:r>
        <w:separator/>
      </w:r>
    </w:p>
  </w:endnote>
  <w:endnote w:type="continuationSeparator" w:id="0">
    <w:p w14:paraId="35DE2D55" w14:textId="77777777" w:rsidR="008C583F" w:rsidRDefault="008C5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06B5F" w14:textId="77777777" w:rsidR="00801D22" w:rsidRDefault="00FE4B90">
    <w:pPr>
      <w:jc w:val="right"/>
    </w:pPr>
    <w:r>
      <w:fldChar w:fldCharType="begin"/>
    </w:r>
    <w:r>
      <w:instrText>PAGE</w:instrText>
    </w:r>
    <w:r>
      <w:fldChar w:fldCharType="separate"/>
    </w:r>
    <w:r w:rsidR="00CC7C28">
      <w:rPr>
        <w:noProof/>
      </w:rPr>
      <w:t>1</w:t>
    </w:r>
    <w:r>
      <w:fldChar w:fldCharType="end"/>
    </w:r>
    <w:r>
      <w:t xml:space="preserve"> of </w:t>
    </w:r>
    <w:r>
      <w:fldChar w:fldCharType="begin"/>
    </w:r>
    <w:r>
      <w:instrText>NUMPAGES</w:instrText>
    </w:r>
    <w:r>
      <w:fldChar w:fldCharType="separate"/>
    </w:r>
    <w:r w:rsidR="00CC7C28">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851D" w14:textId="77777777" w:rsidR="00801D22" w:rsidRDefault="00801D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35EE2" w14:textId="77777777" w:rsidR="008C583F" w:rsidRDefault="008C583F">
      <w:pPr>
        <w:spacing w:after="0" w:line="240" w:lineRule="auto"/>
      </w:pPr>
      <w:r>
        <w:separator/>
      </w:r>
    </w:p>
  </w:footnote>
  <w:footnote w:type="continuationSeparator" w:id="0">
    <w:p w14:paraId="01BD85EF" w14:textId="77777777" w:rsidR="008C583F" w:rsidRDefault="008C58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22"/>
    <w:rsid w:val="00017A29"/>
    <w:rsid w:val="00102AD9"/>
    <w:rsid w:val="00236773"/>
    <w:rsid w:val="00267879"/>
    <w:rsid w:val="002C2311"/>
    <w:rsid w:val="004958CD"/>
    <w:rsid w:val="005243DE"/>
    <w:rsid w:val="005354C7"/>
    <w:rsid w:val="005C49F0"/>
    <w:rsid w:val="00695D28"/>
    <w:rsid w:val="006C3A5F"/>
    <w:rsid w:val="007A6688"/>
    <w:rsid w:val="007D55C0"/>
    <w:rsid w:val="00801D22"/>
    <w:rsid w:val="0086737B"/>
    <w:rsid w:val="00871234"/>
    <w:rsid w:val="008C583F"/>
    <w:rsid w:val="008D3D76"/>
    <w:rsid w:val="00961F7E"/>
    <w:rsid w:val="009B4876"/>
    <w:rsid w:val="00A17594"/>
    <w:rsid w:val="00A977CB"/>
    <w:rsid w:val="00B17EEB"/>
    <w:rsid w:val="00B26FD5"/>
    <w:rsid w:val="00B85068"/>
    <w:rsid w:val="00BE743B"/>
    <w:rsid w:val="00C53565"/>
    <w:rsid w:val="00CB3611"/>
    <w:rsid w:val="00CC7C28"/>
    <w:rsid w:val="00E71DF6"/>
    <w:rsid w:val="00FE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C8EA5B"/>
  <w15:docId w15:val="{D4A47784-B79A-0B43-AE02-5FB611EF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pPr>
        <w:spacing w:after="120" w:line="48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outlineLvl w:val="0"/>
    </w:pPr>
    <w:rPr>
      <w:b/>
      <w:sz w:val="32"/>
      <w:szCs w:val="32"/>
    </w:rPr>
  </w:style>
  <w:style w:type="paragraph" w:styleId="Heading2">
    <w:name w:val="heading 2"/>
    <w:basedOn w:val="Normal"/>
    <w:next w:val="Normal"/>
    <w:uiPriority w:val="9"/>
    <w:unhideWhenUsed/>
    <w:qFormat/>
    <w:pPr>
      <w:keepNext/>
      <w:keepLines/>
      <w:spacing w:before="120"/>
      <w:outlineLvl w:val="1"/>
    </w:pPr>
    <w:rPr>
      <w:b/>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CommentReference">
    <w:name w:val="annotation reference"/>
    <w:basedOn w:val="DefaultParagraphFont"/>
    <w:uiPriority w:val="99"/>
    <w:semiHidden/>
    <w:unhideWhenUsed/>
    <w:rsid w:val="00C53565"/>
    <w:rPr>
      <w:sz w:val="16"/>
      <w:szCs w:val="16"/>
    </w:rPr>
  </w:style>
  <w:style w:type="paragraph" w:styleId="CommentText">
    <w:name w:val="annotation text"/>
    <w:basedOn w:val="Normal"/>
    <w:link w:val="CommentTextChar"/>
    <w:uiPriority w:val="99"/>
    <w:semiHidden/>
    <w:unhideWhenUsed/>
    <w:rsid w:val="00C53565"/>
    <w:pPr>
      <w:spacing w:line="240" w:lineRule="auto"/>
    </w:pPr>
    <w:rPr>
      <w:sz w:val="20"/>
      <w:szCs w:val="20"/>
    </w:rPr>
  </w:style>
  <w:style w:type="character" w:customStyle="1" w:styleId="CommentTextChar">
    <w:name w:val="Comment Text Char"/>
    <w:basedOn w:val="DefaultParagraphFont"/>
    <w:link w:val="CommentText"/>
    <w:uiPriority w:val="99"/>
    <w:semiHidden/>
    <w:rsid w:val="00C53565"/>
    <w:rPr>
      <w:sz w:val="20"/>
      <w:szCs w:val="20"/>
    </w:rPr>
  </w:style>
  <w:style w:type="paragraph" w:styleId="CommentSubject">
    <w:name w:val="annotation subject"/>
    <w:basedOn w:val="CommentText"/>
    <w:next w:val="CommentText"/>
    <w:link w:val="CommentSubjectChar"/>
    <w:uiPriority w:val="99"/>
    <w:semiHidden/>
    <w:unhideWhenUsed/>
    <w:rsid w:val="00C53565"/>
    <w:rPr>
      <w:b/>
      <w:bCs/>
    </w:rPr>
  </w:style>
  <w:style w:type="character" w:customStyle="1" w:styleId="CommentSubjectChar">
    <w:name w:val="Comment Subject Char"/>
    <w:basedOn w:val="CommentTextChar"/>
    <w:link w:val="CommentSubject"/>
    <w:uiPriority w:val="99"/>
    <w:semiHidden/>
    <w:rsid w:val="00C53565"/>
    <w:rPr>
      <w:b/>
      <w:bCs/>
      <w:sz w:val="20"/>
      <w:szCs w:val="20"/>
    </w:rPr>
  </w:style>
  <w:style w:type="paragraph" w:styleId="BalloonText">
    <w:name w:val="Balloon Text"/>
    <w:basedOn w:val="Normal"/>
    <w:link w:val="BalloonTextChar"/>
    <w:uiPriority w:val="99"/>
    <w:semiHidden/>
    <w:unhideWhenUsed/>
    <w:rsid w:val="00B17EEB"/>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17EEB"/>
    <w:rPr>
      <w:sz w:val="18"/>
      <w:szCs w:val="18"/>
    </w:rPr>
  </w:style>
  <w:style w:type="character" w:styleId="Strong">
    <w:name w:val="Strong"/>
    <w:basedOn w:val="DefaultParagraphFont"/>
    <w:uiPriority w:val="22"/>
    <w:qFormat/>
    <w:rsid w:val="00A17594"/>
    <w:rPr>
      <w:b/>
      <w:bCs/>
    </w:rPr>
  </w:style>
  <w:style w:type="character" w:styleId="Hyperlink">
    <w:name w:val="Hyperlink"/>
    <w:basedOn w:val="DefaultParagraphFont"/>
    <w:uiPriority w:val="99"/>
    <w:unhideWhenUsed/>
    <w:rsid w:val="00695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49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erigne.Lo@melanoma.org.au" TargetMode="External"/><Relationship Id="rId18" Type="http://schemas.openxmlformats.org/officeDocument/2006/relationships/hyperlink" Target="mailto:andrew.spillane@melanoma.org.au" TargetMode="External"/><Relationship Id="rId26" Type="http://schemas.openxmlformats.org/officeDocument/2006/relationships/hyperlink" Target="mailto:Matthew.Law@qimrberghofer.edu.au" TargetMode="External"/><Relationship Id="rId39" Type="http://schemas.openxmlformats.org/officeDocument/2006/relationships/image" Target="media/image3.png"/><Relationship Id="rId21" Type="http://schemas.openxmlformats.org/officeDocument/2006/relationships/hyperlink" Target="mailto:David.Whiteman@qimrberghofer.edu.au" TargetMode="External"/><Relationship Id="rId34" Type="http://schemas.openxmlformats.org/officeDocument/2006/relationships/hyperlink" Target="https://paperpile.com/c/H9WvWy/GKAY7" TargetMode="External"/><Relationship Id="rId42" Type="http://schemas.openxmlformats.org/officeDocument/2006/relationships/hyperlink" Target="http://paperpile.com/b/H9WvWy/MtQEi" TargetMode="External"/><Relationship Id="rId47" Type="http://schemas.openxmlformats.org/officeDocument/2006/relationships/hyperlink" Target="http://paperpile.com/b/H9WvWy/GKAY7" TargetMode="External"/><Relationship Id="rId50" Type="http://schemas.openxmlformats.org/officeDocument/2006/relationships/hyperlink" Target="http://paperpile.com/b/H9WvWy/rcl2X" TargetMode="External"/><Relationship Id="rId55" Type="http://schemas.openxmlformats.org/officeDocument/2006/relationships/hyperlink" Target="http://paperpile.com/b/H9WvWy/clyv8" TargetMode="External"/><Relationship Id="rId63" Type="http://schemas.openxmlformats.org/officeDocument/2006/relationships/theme" Target="theme/theme1.xml"/><Relationship Id="rId7" Type="http://schemas.openxmlformats.org/officeDocument/2006/relationships/hyperlink" Target="mailto:matthew.law@qimrberghofer.edu.au" TargetMode="External"/><Relationship Id="rId2" Type="http://schemas.openxmlformats.org/officeDocument/2006/relationships/settings" Target="settings.xml"/><Relationship Id="rId16" Type="http://schemas.openxmlformats.org/officeDocument/2006/relationships/hyperlink" Target="mailto:omgo.nieweg@melanoma.org.au" TargetMode="External"/><Relationship Id="rId29" Type="http://schemas.openxmlformats.org/officeDocument/2006/relationships/hyperlink" Target="https://paperpile.com/c/H9WvWy/QJJs" TargetMode="External"/><Relationship Id="rId11" Type="http://schemas.openxmlformats.org/officeDocument/2006/relationships/hyperlink" Target="mailto:j.a.newton-bishop@leeds.ac.uk" TargetMode="External"/><Relationship Id="rId24" Type="http://schemas.openxmlformats.org/officeDocument/2006/relationships/hyperlink" Target="mailto:georgina.long@sydney.edu.au" TargetMode="External"/><Relationship Id="rId32" Type="http://schemas.openxmlformats.org/officeDocument/2006/relationships/image" Target="media/image1.png"/><Relationship Id="rId37" Type="http://schemas.openxmlformats.org/officeDocument/2006/relationships/hyperlink" Target="https://paperpile.com/c/H9WvWy/MtQEi" TargetMode="External"/><Relationship Id="rId40" Type="http://schemas.openxmlformats.org/officeDocument/2006/relationships/image" Target="media/image4.png"/><Relationship Id="rId45" Type="http://schemas.openxmlformats.org/officeDocument/2006/relationships/hyperlink" Target="http://paperpile.com/b/H9WvWy/GKAY7" TargetMode="External"/><Relationship Id="rId53" Type="http://schemas.openxmlformats.org/officeDocument/2006/relationships/hyperlink" Target="http://paperpile.com/b/H9WvWy/nfqCt" TargetMode="External"/><Relationship Id="rId58" Type="http://schemas.openxmlformats.org/officeDocument/2006/relationships/hyperlink" Target="http://paperpile.com/b/H9WvWy/QJJs" TargetMode="External"/><Relationship Id="rId5" Type="http://schemas.openxmlformats.org/officeDocument/2006/relationships/endnotes" Target="endnotes.xml"/><Relationship Id="rId61" Type="http://schemas.openxmlformats.org/officeDocument/2006/relationships/footer" Target="footer2.xml"/><Relationship Id="rId19" Type="http://schemas.openxmlformats.org/officeDocument/2006/relationships/hyperlink" Target="mailto:Scott.Gordon@qimrberghofer.edu.au" TargetMode="External"/><Relationship Id="rId14" Type="http://schemas.openxmlformats.org/officeDocument/2006/relationships/hyperlink" Target="mailto:jonathan.stretch@melanoma.org.au" TargetMode="External"/><Relationship Id="rId22" Type="http://schemas.openxmlformats.org/officeDocument/2006/relationships/hyperlink" Target="mailto:landim@mail.nih.gov" TargetMode="External"/><Relationship Id="rId27" Type="http://schemas.openxmlformats.org/officeDocument/2006/relationships/hyperlink" Target="https://paperpile.com/c/H9WvWy/GKAY7+rcl2X" TargetMode="External"/><Relationship Id="rId30" Type="http://schemas.openxmlformats.org/officeDocument/2006/relationships/hyperlink" Target="https://paperpile.com/c/H9WvWy/MtQEi" TargetMode="External"/><Relationship Id="rId35" Type="http://schemas.openxmlformats.org/officeDocument/2006/relationships/hyperlink" Target="https://paperpile.com/c/H9WvWy/nfqCt" TargetMode="External"/><Relationship Id="rId43" Type="http://schemas.openxmlformats.org/officeDocument/2006/relationships/hyperlink" Target="http://paperpile.com/b/H9WvWy/MtQEi" TargetMode="External"/><Relationship Id="rId48" Type="http://schemas.openxmlformats.org/officeDocument/2006/relationships/hyperlink" Target="http://paperpile.com/b/H9WvWy/rcl2X" TargetMode="External"/><Relationship Id="rId56" Type="http://schemas.openxmlformats.org/officeDocument/2006/relationships/hyperlink" Target="http://paperpile.com/b/H9WvWy/clyv8" TargetMode="External"/><Relationship Id="rId64" Type="http://schemas.microsoft.com/office/2018/08/relationships/commentsExtensible" Target="commentsExtensible.xml"/><Relationship Id="rId8" Type="http://schemas.openxmlformats.org/officeDocument/2006/relationships/hyperlink" Target="mailto:Mathias.Seviiri@qimrberghofer.edu.au" TargetMode="External"/><Relationship Id="rId51" Type="http://schemas.openxmlformats.org/officeDocument/2006/relationships/hyperlink" Target="http://paperpile.com/b/H9WvWy/nfqCt" TargetMode="External"/><Relationship Id="rId3" Type="http://schemas.openxmlformats.org/officeDocument/2006/relationships/webSettings" Target="webSettings.xml"/><Relationship Id="rId12" Type="http://schemas.openxmlformats.org/officeDocument/2006/relationships/hyperlink" Target="mailto:M.M.Iles@leeds.ac.uk" TargetMode="External"/><Relationship Id="rId17" Type="http://schemas.openxmlformats.org/officeDocument/2006/relationships/hyperlink" Target="mailto:kerwin.shannon@melanoma.org.au" TargetMode="External"/><Relationship Id="rId25" Type="http://schemas.openxmlformats.org/officeDocument/2006/relationships/hyperlink" Target="mailto:Stuart.MacGregor@qimrberghofer.edu.au" TargetMode="External"/><Relationship Id="rId33" Type="http://schemas.openxmlformats.org/officeDocument/2006/relationships/hyperlink" Target="https://paperpile.com/c/H9WvWy/GKAY7" TargetMode="External"/><Relationship Id="rId38" Type="http://schemas.openxmlformats.org/officeDocument/2006/relationships/image" Target="media/image2.png"/><Relationship Id="rId46" Type="http://schemas.openxmlformats.org/officeDocument/2006/relationships/hyperlink" Target="http://paperpile.com/b/H9WvWy/GKAY7" TargetMode="External"/><Relationship Id="rId59" Type="http://schemas.openxmlformats.org/officeDocument/2006/relationships/hyperlink" Target="http://paperpile.com/b/H9WvWy/QJJs" TargetMode="External"/><Relationship Id="rId20" Type="http://schemas.openxmlformats.org/officeDocument/2006/relationships/hyperlink" Target="mailto:Catherine.Olsen@qimrberghofer.edu.au" TargetMode="External"/><Relationship Id="rId41" Type="http://schemas.openxmlformats.org/officeDocument/2006/relationships/image" Target="media/image5.png"/><Relationship Id="rId54" Type="http://schemas.openxmlformats.org/officeDocument/2006/relationships/hyperlink" Target="http://paperpile.com/b/H9WvWy/clyv8"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thias.Seviiri@qimrberghofer.edu.au" TargetMode="External"/><Relationship Id="rId15" Type="http://schemas.openxmlformats.org/officeDocument/2006/relationships/hyperlink" Target="mailto:robyn.saw@melanoma.org.au" TargetMode="External"/><Relationship Id="rId23" Type="http://schemas.openxmlformats.org/officeDocument/2006/relationships/hyperlink" Target="mailto:John.Thompson@melanoma.org.au" TargetMode="External"/><Relationship Id="rId28" Type="http://schemas.openxmlformats.org/officeDocument/2006/relationships/hyperlink" Target="https://paperpile.com/c/H9WvWy/nfqCt" TargetMode="External"/><Relationship Id="rId36" Type="http://schemas.openxmlformats.org/officeDocument/2006/relationships/hyperlink" Target="https://biobank.ndph.ox.ac.uk/ukb/field.cgi?id=22192" TargetMode="External"/><Relationship Id="rId49" Type="http://schemas.openxmlformats.org/officeDocument/2006/relationships/hyperlink" Target="http://paperpile.com/b/H9WvWy/rcl2X" TargetMode="External"/><Relationship Id="rId57" Type="http://schemas.openxmlformats.org/officeDocument/2006/relationships/hyperlink" Target="http://paperpile.com/b/H9WvWy/QJJs" TargetMode="External"/><Relationship Id="rId10" Type="http://schemas.openxmlformats.org/officeDocument/2006/relationships/hyperlink" Target="mailto:D.T.Bishop@leeds.ac.uk" TargetMode="External"/><Relationship Id="rId31" Type="http://schemas.openxmlformats.org/officeDocument/2006/relationships/hyperlink" Target="https://paperpile.com/c/H9WvWy/clyv8" TargetMode="External"/><Relationship Id="rId44" Type="http://schemas.openxmlformats.org/officeDocument/2006/relationships/hyperlink" Target="http://paperpile.com/b/H9WvWy/MtQEi" TargetMode="External"/><Relationship Id="rId52" Type="http://schemas.openxmlformats.org/officeDocument/2006/relationships/hyperlink" Target="http://paperpile.com/b/H9WvWy/nfqCt" TargetMode="External"/><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Richard.Scolyer@health.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3327</Words>
  <Characters>18968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Mathias Seviiri</cp:lastModifiedBy>
  <cp:revision>8</cp:revision>
  <dcterms:created xsi:type="dcterms:W3CDTF">2022-05-13T06:09:00Z</dcterms:created>
  <dcterms:modified xsi:type="dcterms:W3CDTF">2022-07-21T13:50:00Z</dcterms:modified>
</cp:coreProperties>
</file>