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07" w:rsidRPr="00B80AB9" w:rsidRDefault="00870507" w:rsidP="00870507">
      <w:pPr>
        <w:pStyle w:val="Default"/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B80AB9">
        <w:rPr>
          <w:rFonts w:ascii="Times New Roman" w:hAnsi="Times New Roman" w:cs="Times New Roman"/>
          <w:b/>
          <w:u w:val="single"/>
          <w:lang w:val="en-US"/>
        </w:rPr>
        <w:t>ADDITIONAL METHODS:</w:t>
      </w:r>
    </w:p>
    <w:p w:rsidR="00870507" w:rsidRPr="00B80AB9" w:rsidRDefault="00870507" w:rsidP="00870507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507" w:rsidRPr="00B80AB9" w:rsidRDefault="00870507" w:rsidP="00870507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sz w:val="24"/>
          <w:szCs w:val="24"/>
          <w:lang w:val="en-US"/>
        </w:rPr>
        <w:t>Chronic Study Design</w:t>
      </w:r>
    </w:p>
    <w:p w:rsidR="00870507" w:rsidRPr="00B80AB9" w:rsidRDefault="00870507" w:rsidP="00870507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Animals</w:t>
      </w:r>
    </w:p>
    <w:p w:rsidR="00870507" w:rsidRPr="00B80AB9" w:rsidRDefault="00870507" w:rsidP="00870507">
      <w:pPr>
        <w:widowControl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In order to a subsequent transfer to the clinic, requiring the product’s cost reduction especially for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Rhodiola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plant extracts, we designed a new group : eleven-week-old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Han rats (n=10) were fed 30 g/day of the specialized low-protein food A04, previously designed and obtained from SAFE (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Augy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>, France), and water was provided ad libitum. On day 1 of the experiment, the rats were 12 weeks old (334.4 ± 10 g) and were considered adults.</w:t>
      </w:r>
    </w:p>
    <w:p w:rsidR="00870507" w:rsidRPr="00B80AB9" w:rsidRDefault="00870507" w:rsidP="0087050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 designed a new dose to test </w:t>
      </w:r>
      <w:proofErr w:type="gramStart"/>
      <w:r w:rsidRPr="00B80AB9">
        <w:rPr>
          <w:rFonts w:ascii="Times New Roman" w:hAnsi="Times New Roman" w:cs="Times New Roman"/>
          <w:sz w:val="24"/>
          <w:szCs w:val="24"/>
          <w:lang w:val="en-US"/>
        </w:rPr>
        <w:t>chronically :</w:t>
      </w:r>
      <w:proofErr w:type="gram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175 mg ; </w:t>
      </w:r>
      <w:proofErr w:type="spellStart"/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Rha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(70%) + Rho (30%). The rationale for designing the 70%/</w:t>
      </w:r>
      <w:proofErr w:type="gramStart"/>
      <w:r w:rsidRPr="00B80AB9">
        <w:rPr>
          <w:rFonts w:ascii="Times New Roman" w:hAnsi="Times New Roman" w:cs="Times New Roman"/>
          <w:sz w:val="24"/>
          <w:szCs w:val="24"/>
          <w:lang w:val="en-US"/>
        </w:rPr>
        <w:t>30%</w:t>
      </w:r>
      <w:proofErr w:type="gram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dose was derived from the results of the acute study, but we are aware that our acute study does not provide information regarding this group. We designed a mix dose of 175 mg </w:t>
      </w:r>
      <w:proofErr w:type="spellStart"/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Rha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(70%) + Rho (30%)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according to the following </w:t>
      </w:r>
      <w:proofErr w:type="gramStart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reasoning :</w:t>
      </w:r>
      <w:proofErr w:type="gram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A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Rhaponticum</w:t>
      </w:r>
      <w:proofErr w:type="spell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supposed to drive the anabolic effect upon protein synthesis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Rhodiola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seems to have a synergistic effect when they are associated, even with low dose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(FDP muscle, HED = 50 mg)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. Based on this observation, we designed a combination to maintain the MPS stimulatory effect keeping the minimum doses of each compound, aiming at reducing the cost of products, in order to a subsequent transfer to the clinic.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on the results indicating that lowest 50%/50% dose had a significant effect on protein synthesis on most of the muscles studied (HED = 250 mg) (Figure 1) we designed a supplementation where the </w:t>
      </w:r>
      <w:proofErr w:type="spellStart"/>
      <w:r w:rsidRPr="00B80A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Rhaponticum</w:t>
      </w:r>
      <w:proofErr w:type="spell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dose of this combination was preserved (i.e. HED = 125 mg), but the </w:t>
      </w:r>
      <w:proofErr w:type="spellStart"/>
      <w:r w:rsidRPr="00B80A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Rhodiola</w:t>
      </w:r>
      <w:proofErr w:type="spell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dose was decreased to the lowest level that had a synergistic effect (FDP muscle, HED = 50 mg). We used a total dose of 175 mg (</w:t>
      </w:r>
      <w:proofErr w:type="spellStart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Rha</w:t>
      </w:r>
      <w:proofErr w:type="spell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125 mg + Rho = 50 mg) with a </w:t>
      </w:r>
      <w:proofErr w:type="spellStart"/>
      <w:r w:rsidRPr="00B80A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Rha+Rho</w:t>
      </w:r>
      <w:proofErr w:type="spellEnd"/>
      <w:r w:rsidRPr="00B80A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ratio of 70%/</w:t>
      </w:r>
      <w:proofErr w:type="gramStart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30%</w:t>
      </w:r>
      <w:proofErr w:type="gramEnd"/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Thus, we designed a mix dose of 175 mg </w:t>
      </w:r>
      <w:proofErr w:type="spellStart"/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Rha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(70%) + Rho (30%) that was administered to animals that received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also resistance training for 4 </w:t>
      </w:r>
      <w:r w:rsidRPr="00B80A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weeks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Thus, we designed a mix dose of 175 mg </w:t>
      </w:r>
      <w:proofErr w:type="spellStart"/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Rha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(70%) + Rho (30%) that was administered to animals that received 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also resistance training for 4 </w:t>
      </w:r>
      <w:r w:rsidRPr="00B80A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weeks</w:t>
      </w:r>
      <w:r w:rsidRPr="00B8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A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Rats 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received treatment as </w:t>
      </w:r>
      <w:r w:rsidRPr="00B80AB9">
        <w:rPr>
          <w:rFonts w:ascii="Times New Roman" w:eastAsia="Calibri" w:hAnsi="Times New Roman" w:cs="Times New Roman"/>
          <w:sz w:val="24"/>
          <w:szCs w:val="24"/>
          <w:lang w:val="en-US"/>
        </w:rPr>
        <w:t>shown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in Table 1.</w:t>
      </w:r>
    </w:p>
    <w:p w:rsidR="00870507" w:rsidRPr="00B80AB9" w:rsidRDefault="00870507" w:rsidP="00870507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B80AB9">
        <w:rPr>
          <w:rFonts w:ascii="Times New Roman" w:hAnsi="Times New Roman" w:cs="Times New Roman"/>
          <w:b/>
          <w:lang w:val="en-US"/>
        </w:rPr>
        <w:t xml:space="preserve">Table 1: </w:t>
      </w:r>
      <w:r w:rsidRPr="00B80AB9">
        <w:rPr>
          <w:rFonts w:ascii="Times New Roman" w:hAnsi="Times New Roman" w:cs="Times New Roman"/>
          <w:lang w:val="en-US"/>
        </w:rPr>
        <w:t>Human equivalent doses (HEDs) used to feed the different groups of animals in the chronic study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1608"/>
        <w:gridCol w:w="1858"/>
        <w:gridCol w:w="1858"/>
      </w:tblGrid>
      <w:tr w:rsidR="00870507" w:rsidRPr="00B80AB9" w:rsidTr="00346F54">
        <w:trPr>
          <w:trHeight w:val="261"/>
          <w:jc w:val="center"/>
        </w:trPr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Conversion of the human </w:t>
            </w: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dose to rat dose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Daily rat dose </w:t>
            </w: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(mg/kg BW)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HED (mg/kg BW)*</w:t>
            </w:r>
          </w:p>
        </w:tc>
        <w:tc>
          <w:tcPr>
            <w:tcW w:w="18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0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HED (mg/day)</w:t>
            </w:r>
          </w:p>
        </w:tc>
      </w:tr>
      <w:tr w:rsidR="00870507" w:rsidRPr="00B80AB9" w:rsidTr="00346F54">
        <w:trPr>
          <w:trHeight w:val="215"/>
          <w:jc w:val="center"/>
        </w:trPr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0A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Rhaponticum</w:t>
            </w:r>
            <w:proofErr w:type="spellEnd"/>
            <w:r w:rsidRPr="00B80A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B80A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Rhodiola</w:t>
            </w:r>
            <w:proofErr w:type="spellEnd"/>
            <w:r w:rsidRPr="00B80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70-30 group (</w:t>
            </w:r>
            <w:proofErr w:type="spellStart"/>
            <w:r w:rsidRPr="00B80A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Rha+Rho</w:t>
            </w:r>
            <w:proofErr w:type="spellEnd"/>
            <w:r w:rsidRPr="00B80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0A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15.22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0A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2.92</w:t>
            </w:r>
          </w:p>
        </w:tc>
        <w:tc>
          <w:tcPr>
            <w:tcW w:w="18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507" w:rsidRPr="00B80AB9" w:rsidRDefault="00870507" w:rsidP="00346F54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0A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175</w:t>
            </w:r>
          </w:p>
        </w:tc>
      </w:tr>
    </w:tbl>
    <w:p w:rsidR="00870507" w:rsidRPr="00B80AB9" w:rsidRDefault="00870507" w:rsidP="008705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  <w:lang w:val="en-US"/>
        </w:rPr>
      </w:pPr>
      <w:r w:rsidRPr="00B80AB9">
        <w:rPr>
          <w:rFonts w:ascii="Times New Roman" w:hAnsi="Times New Roman" w:cs="Times New Roman"/>
          <w:color w:val="000000"/>
          <w:lang w:val="en-US"/>
        </w:rPr>
        <w:t>* Formula from FDA, 2005; Human equivalent dose (HED; mg/kg) = animal dose in mg/kg x (animal weight in kg/human weight in kg</w:t>
      </w:r>
      <w:proofErr w:type="gramStart"/>
      <w:r w:rsidRPr="00B80AB9">
        <w:rPr>
          <w:rFonts w:ascii="Times New Roman" w:hAnsi="Times New Roman" w:cs="Times New Roman"/>
          <w:color w:val="000000"/>
          <w:lang w:val="en-US"/>
        </w:rPr>
        <w:t>)</w:t>
      </w:r>
      <w:r w:rsidRPr="00B80AB9">
        <w:rPr>
          <w:rFonts w:ascii="Times New Roman" w:hAnsi="Times New Roman" w:cs="Times New Roman"/>
          <w:color w:val="000000"/>
          <w:vertAlign w:val="superscript"/>
          <w:lang w:val="en-US"/>
        </w:rPr>
        <w:t>0.33</w:t>
      </w:r>
      <w:proofErr w:type="gramEnd"/>
      <w:r w:rsidRPr="00B80AB9">
        <w:rPr>
          <w:rFonts w:ascii="Times New Roman" w:hAnsi="Times New Roman" w:cs="Times New Roman"/>
          <w:color w:val="000000"/>
          <w:lang w:val="en-US"/>
        </w:rPr>
        <w:t xml:space="preserve">. BW: </w:t>
      </w:r>
      <w:r w:rsidRPr="00B80AB9">
        <w:rPr>
          <w:rFonts w:ascii="Times New Roman" w:hAnsi="Times New Roman" w:cs="Times New Roman"/>
          <w:bCs/>
          <w:sz w:val="20"/>
          <w:szCs w:val="20"/>
          <w:lang w:val="en-US"/>
        </w:rPr>
        <w:t>body weight</w:t>
      </w:r>
    </w:p>
    <w:p w:rsidR="00870507" w:rsidRPr="00B80AB9" w:rsidRDefault="00870507" w:rsidP="0087050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507" w:rsidRPr="00B80AB9" w:rsidRDefault="00870507" w:rsidP="00870507">
      <w:pPr>
        <w:widowControl w:val="0"/>
        <w:spacing w:after="12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i/>
          <w:sz w:val="24"/>
          <w:szCs w:val="24"/>
          <w:lang w:val="en-US"/>
        </w:rPr>
        <w:t>Protein synthesis markers measurement</w:t>
      </w:r>
    </w:p>
    <w:p w:rsidR="00870507" w:rsidRPr="00B80AB9" w:rsidRDefault="00870507" w:rsidP="00870507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Protein synthesis markers expression was assessed by </w:t>
      </w:r>
      <w:r w:rsidRPr="00B80AB9">
        <w:rPr>
          <w:rFonts w:ascii="Times New Roman" w:eastAsia="Calibri" w:hAnsi="Times New Roman" w:cs="Times New Roman"/>
          <w:sz w:val="24"/>
          <w:szCs w:val="24"/>
          <w:lang w:val="en-US"/>
        </w:rPr>
        <w:t>immunoblotting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on 4-20% acrylamide gels. Protein samples from FDP muscle (50 µg) were denatured, separated by 10% SDS-PAGE, and transferred onto nitrocellulose </w:t>
      </w:r>
      <w:r w:rsidRPr="00B80AB9">
        <w:rPr>
          <w:rFonts w:ascii="Times New Roman" w:eastAsia="Calibri" w:hAnsi="Times New Roman" w:cs="Times New Roman"/>
          <w:sz w:val="24"/>
          <w:szCs w:val="24"/>
          <w:lang w:val="en-US"/>
        </w:rPr>
        <w:t>membranes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. Membranes were incubated with primary antibodies against </w:t>
      </w:r>
      <w:proofErr w:type="spellStart"/>
      <w:r w:rsidRPr="00B80AB9">
        <w:rPr>
          <w:rFonts w:ascii="Times New Roman" w:hAnsi="Times New Roman" w:cs="Times New Roman"/>
          <w:color w:val="000000"/>
          <w:sz w:val="24"/>
          <w:szCs w:val="24"/>
          <w:lang w:val="en-US"/>
        </w:rPr>
        <w:t>phospho-</w:t>
      </w:r>
      <w:r w:rsidRPr="00B80AB9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473),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Akt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phospho-mTOR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2448),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mTOR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>, phospho-rpS6 (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240/244), rpS6, phospho-4EBP-1 (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65), 4EBP-1 (Cell Signaling Technology,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Danvers,MA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, USA) overnight at 4°C, and the membranes were subsequently incubated with appropriate secondary antibody conjugated to peroxidase (anti-mouse or anti-rabbit IgG ; ECL from GE Healthcare UK Limited, Amersham, UK) The optical density of the entire sample lane was assessed and normalized with </w:t>
      </w:r>
      <w:proofErr w:type="spellStart"/>
      <w:r w:rsidRPr="00B80AB9">
        <w:rPr>
          <w:rFonts w:ascii="Times New Roman" w:hAnsi="Times New Roman" w:cs="Times New Roman"/>
          <w:sz w:val="24"/>
          <w:szCs w:val="24"/>
          <w:lang w:val="en-US"/>
        </w:rPr>
        <w:t>Ponceau</w:t>
      </w:r>
      <w:proofErr w:type="spellEnd"/>
      <w:r w:rsidRPr="00B80AB9">
        <w:rPr>
          <w:rFonts w:ascii="Times New Roman" w:hAnsi="Times New Roman" w:cs="Times New Roman"/>
          <w:sz w:val="24"/>
          <w:szCs w:val="24"/>
          <w:lang w:val="en-US"/>
        </w:rPr>
        <w:t xml:space="preserve"> S total protein staining.</w:t>
      </w:r>
    </w:p>
    <w:p w:rsidR="00064BDB" w:rsidRDefault="00064BDB">
      <w:bookmarkStart w:id="0" w:name="_GoBack"/>
      <w:bookmarkEnd w:id="0"/>
    </w:p>
    <w:sectPr w:rsidR="00064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7"/>
    <w:rsid w:val="00064BDB"/>
    <w:rsid w:val="0047260B"/>
    <w:rsid w:val="00870507"/>
    <w:rsid w:val="00F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5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5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2803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OF47</cp:lastModifiedBy>
  <cp:revision>1</cp:revision>
  <dcterms:created xsi:type="dcterms:W3CDTF">2020-11-06T13:53:00Z</dcterms:created>
  <dcterms:modified xsi:type="dcterms:W3CDTF">2020-11-06T13:53:00Z</dcterms:modified>
</cp:coreProperties>
</file>