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4B" w:rsidRDefault="0012474B" w:rsidP="00136835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2474B" w:rsidRDefault="0012474B" w:rsidP="00136835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501637" w:rsidRDefault="00501637" w:rsidP="00136835">
      <w:bookmarkStart w:id="0" w:name="_GoBack"/>
      <w:bookmarkEnd w:id="0"/>
      <w:r w:rsidRPr="00501637">
        <w:rPr>
          <w:rFonts w:ascii="Times New Roman" w:eastAsia="Calibri" w:hAnsi="Times New Roman" w:cs="Times New Roman"/>
          <w:b/>
          <w:sz w:val="24"/>
          <w:lang w:eastAsia="en-US"/>
        </w:rPr>
        <w:t>Figure</w:t>
      </w:r>
      <w:r w:rsidR="00136835" w:rsidRPr="00C256FE">
        <w:rPr>
          <w:rFonts w:ascii="Times New Roman" w:eastAsia="Calibri" w:hAnsi="Times New Roman" w:cs="Times New Roman"/>
          <w:b/>
          <w:sz w:val="24"/>
          <w:lang w:eastAsia="en-US"/>
        </w:rPr>
        <w:t xml:space="preserve"> S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upplementary </w:t>
      </w:r>
      <w:r w:rsidR="00136835" w:rsidRPr="00C256FE">
        <w:rPr>
          <w:rFonts w:ascii="Times New Roman" w:eastAsia="Calibri" w:hAnsi="Times New Roman" w:cs="Times New Roman"/>
          <w:b/>
          <w:sz w:val="24"/>
          <w:lang w:eastAsia="en-US"/>
        </w:rPr>
        <w:t>1</w:t>
      </w:r>
      <w:r w:rsidR="00136835">
        <w:rPr>
          <w:rFonts w:ascii="Times New Roman" w:eastAsia="Calibri" w:hAnsi="Times New Roman" w:cs="Times New Roman"/>
          <w:sz w:val="24"/>
          <w:lang w:eastAsia="en-US"/>
        </w:rPr>
        <w:t>:</w:t>
      </w:r>
      <w:r w:rsidR="00136835" w:rsidRPr="00651290">
        <w:t xml:space="preserve"> </w:t>
      </w:r>
      <w:r w:rsidR="00136835">
        <w:t xml:space="preserve"> </w:t>
      </w:r>
    </w:p>
    <w:p w:rsidR="00136835" w:rsidRDefault="00136835" w:rsidP="00501637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51290">
        <w:rPr>
          <w:rFonts w:ascii="Times New Roman" w:eastAsia="Calibri" w:hAnsi="Times New Roman" w:cs="Times New Roman"/>
          <w:sz w:val="24"/>
          <w:lang w:eastAsia="en-US"/>
        </w:rPr>
        <w:t>Representative amplification curves obtained to quantify viral load of patient samples using known concentrations of quantification standards (QS1-QS4) and probes specific for human parvovirus B19</w:t>
      </w:r>
    </w:p>
    <w:p w:rsidR="00136835" w:rsidRDefault="00136835" w:rsidP="00136835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136835" w:rsidRDefault="00136835" w:rsidP="00136835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lang w:val="en-US" w:eastAsia="en-US"/>
        </w:rPr>
        <w:drawing>
          <wp:inline distT="0" distB="0" distL="0" distR="0" wp14:anchorId="5503C754" wp14:editId="0D02B630">
            <wp:extent cx="5943600" cy="3905671"/>
            <wp:effectExtent l="0" t="0" r="0" b="0"/>
            <wp:docPr id="2" name="Picture 2" descr="C:\Users\Dr.shns_lab01\Dropbox\Manuscript files\Supplementary figures and tables\supplementary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hns_lab01\Dropbox\Manuscript files\Supplementary figures and tables\supplementary figure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73" w:rsidRDefault="00E05B73"/>
    <w:sectPr w:rsidR="00E05B73" w:rsidSect="0084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35"/>
    <w:rsid w:val="0012474B"/>
    <w:rsid w:val="00136835"/>
    <w:rsid w:val="00501637"/>
    <w:rsid w:val="00843C3A"/>
    <w:rsid w:val="00CD76A5"/>
    <w:rsid w:val="00E0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6877"/>
  <w15:chartTrackingRefBased/>
  <w15:docId w15:val="{DB8FA092-CA2A-485F-98BA-83F79731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6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35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b w:val="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Dr.Dayakar</cp:lastModifiedBy>
  <cp:revision>3</cp:revision>
  <dcterms:created xsi:type="dcterms:W3CDTF">2019-06-16T12:46:00Z</dcterms:created>
  <dcterms:modified xsi:type="dcterms:W3CDTF">2021-03-18T07:00:00Z</dcterms:modified>
</cp:coreProperties>
</file>