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AB" w:rsidRDefault="009323AB" w:rsidP="009323AB">
      <w:pPr>
        <w:rPr>
          <w:sz w:val="24"/>
        </w:rPr>
      </w:pPr>
      <w:bookmarkStart w:id="0" w:name="_Hlk7620199"/>
      <w:r w:rsidRPr="00E92813">
        <w:rPr>
          <w:sz w:val="24"/>
        </w:rPr>
        <w:t xml:space="preserve">Additional file </w:t>
      </w:r>
      <w:r>
        <w:rPr>
          <w:sz w:val="24"/>
        </w:rPr>
        <w:t>5</w:t>
      </w:r>
      <w:r w:rsidRPr="00E92813">
        <w:rPr>
          <w:sz w:val="24"/>
        </w:rPr>
        <w:t xml:space="preserve"> OPA, PPA, and NPA between PD-L1 assays in invasive UC samples (</w:t>
      </w:r>
      <w:r w:rsidRPr="001F45D4">
        <w:rPr>
          <w:i/>
          <w:sz w:val="24"/>
        </w:rPr>
        <w:t>N</w:t>
      </w:r>
      <w:r w:rsidRPr="00E92813">
        <w:rPr>
          <w:sz w:val="24"/>
        </w:rPr>
        <w:t>=255)</w:t>
      </w:r>
    </w:p>
    <w:tbl>
      <w:tblPr>
        <w:tblW w:w="9447" w:type="dxa"/>
        <w:tblInd w:w="-72" w:type="dxa"/>
        <w:tblCellMar>
          <w:left w:w="0" w:type="dxa"/>
          <w:right w:w="0" w:type="dxa"/>
        </w:tblCellMar>
        <w:tblLook w:val="0400"/>
      </w:tblPr>
      <w:tblGrid>
        <w:gridCol w:w="1904"/>
        <w:gridCol w:w="2038"/>
        <w:gridCol w:w="1829"/>
        <w:gridCol w:w="1829"/>
        <w:gridCol w:w="1847"/>
      </w:tblGrid>
      <w:tr w:rsidR="009323AB" w:rsidRPr="00E92813" w:rsidTr="00490C5A">
        <w:trPr>
          <w:trHeight w:val="360"/>
        </w:trPr>
        <w:tc>
          <w:tcPr>
            <w:tcW w:w="19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bottom"/>
          </w:tcPr>
          <w:bookmarkEnd w:id="0"/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  <w:b/>
              </w:rPr>
            </w:pPr>
            <w:r w:rsidRPr="00E92813">
              <w:rPr>
                <w:rFonts w:cs="Arial"/>
                <w:b/>
              </w:rPr>
              <w:t>Clinical algorithm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72" w:type="dxa"/>
              <w:right w:w="15" w:type="dxa"/>
            </w:tcMar>
            <w:vAlign w:val="bottom"/>
            <w:hideMark/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  <w:b/>
              </w:rPr>
            </w:pPr>
            <w:r w:rsidRPr="00E92813">
              <w:rPr>
                <w:rFonts w:cs="Arial"/>
                <w:b/>
              </w:rPr>
              <w:t>Comparator assay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2" w:type="dxa"/>
              <w:bottom w:w="72" w:type="dxa"/>
              <w:right w:w="15" w:type="dxa"/>
            </w:tcMar>
            <w:vAlign w:val="bottom"/>
            <w:hideMark/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  <w:b/>
              </w:rPr>
            </w:pPr>
            <w:r w:rsidRPr="00E92813">
              <w:rPr>
                <w:rFonts w:cs="Arial"/>
                <w:b/>
              </w:rPr>
              <w:t xml:space="preserve">VENTANA SP263 (TC/IC 25%) assay used as reference, </w:t>
            </w:r>
          </w:p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  <w:b/>
              </w:rPr>
            </w:pPr>
            <w:r w:rsidRPr="00E92813">
              <w:rPr>
                <w:rFonts w:cs="Arial"/>
                <w:b/>
              </w:rPr>
              <w:t>% agreement (95% CI)</w:t>
            </w:r>
            <w:r w:rsidRPr="00E92813">
              <w:rPr>
                <w:rFonts w:cs="Arial"/>
                <w:vertAlign w:val="superscript"/>
              </w:rPr>
              <w:t xml:space="preserve"> a</w:t>
            </w:r>
          </w:p>
        </w:tc>
      </w:tr>
      <w:tr w:rsidR="009323AB" w:rsidRPr="00E92813" w:rsidTr="00490C5A">
        <w:trPr>
          <w:trHeight w:val="360"/>
        </w:trPr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bottom"/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  <w:b/>
              </w:rPr>
            </w:pPr>
            <w:r w:rsidRPr="007A2F7B">
              <w:rPr>
                <w:rFonts w:cs="Arial"/>
                <w:b/>
              </w:rPr>
              <w:t>OPA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bottom"/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  <w:b/>
              </w:rPr>
            </w:pPr>
            <w:r w:rsidRPr="007A2F7B">
              <w:rPr>
                <w:rFonts w:cs="Arial"/>
                <w:b/>
              </w:rPr>
              <w:t>PPA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vAlign w:val="bottom"/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  <w:b/>
              </w:rPr>
            </w:pPr>
            <w:r w:rsidRPr="007A2F7B">
              <w:rPr>
                <w:rFonts w:cs="Arial"/>
                <w:b/>
              </w:rPr>
              <w:t>NPA</w:t>
            </w:r>
          </w:p>
        </w:tc>
      </w:tr>
      <w:tr w:rsidR="009323AB" w:rsidRPr="00E92813" w:rsidTr="00490C5A">
        <w:trPr>
          <w:trHeight w:val="360"/>
        </w:trPr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8" w:space="0" w:color="FFFFFF"/>
            </w:tcBorders>
            <w:shd w:val="clear" w:color="auto" w:fill="auto"/>
          </w:tcPr>
          <w:p w:rsidR="009323AB" w:rsidRPr="00E92813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  <w:r w:rsidRPr="00E92813">
              <w:rPr>
                <w:rFonts w:cs="Arial"/>
              </w:rPr>
              <w:t>TC or IC</w:t>
            </w:r>
            <w:r w:rsidRPr="00E92813">
              <w:rPr>
                <w:rFonts w:cs="Arial"/>
                <w:vertAlign w:val="subscript"/>
              </w:rPr>
              <w:t>ICArea</w:t>
            </w:r>
            <w:r w:rsidRPr="00E92813">
              <w:rPr>
                <w:rFonts w:cs="Arial"/>
              </w:rPr>
              <w:t xml:space="preserve"> ≥25%</w:t>
            </w:r>
          </w:p>
          <w:p w:rsidR="009323AB" w:rsidRPr="00E92813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  <w:r w:rsidRPr="00E92813">
              <w:rPr>
                <w:rFonts w:cs="Arial"/>
              </w:rPr>
              <w:t>(VENTANA SP263)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PD-L1 IHC 22C3 pharmDX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92.5% (89.3%)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88.1% (81.5%)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95.5% (91.6%)</w:t>
            </w:r>
          </w:p>
        </w:tc>
      </w:tr>
      <w:tr w:rsidR="009323AB" w:rsidRPr="00E92813" w:rsidTr="00490C5A">
        <w:trPr>
          <w:trHeight w:val="360"/>
        </w:trPr>
        <w:tc>
          <w:tcPr>
            <w:tcW w:w="1904" w:type="dxa"/>
            <w:vMerge/>
            <w:tcBorders>
              <w:left w:val="nil"/>
              <w:right w:val="single" w:sz="8" w:space="0" w:color="FFFFFF"/>
            </w:tcBorders>
            <w:shd w:val="clear" w:color="auto" w:fill="auto"/>
          </w:tcPr>
          <w:p w:rsidR="009323AB" w:rsidRPr="007A2F7B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7A2F7B">
              <w:rPr>
                <w:rFonts w:cs="Arial"/>
              </w:rPr>
              <w:t>PD-L1 IHC 28-8 pharmDX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7A2F7B">
              <w:rPr>
                <w:rFonts w:cs="Arial"/>
              </w:rPr>
              <w:t>90.2% (86.6%)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7A2F7B">
              <w:rPr>
                <w:rFonts w:cs="Arial"/>
              </w:rPr>
              <w:t>80.2% (72.5%)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7A2F7B">
              <w:rPr>
                <w:rFonts w:cs="Arial"/>
              </w:rPr>
              <w:t>96.8% (93.3%)</w:t>
            </w:r>
          </w:p>
        </w:tc>
      </w:tr>
      <w:tr w:rsidR="009323AB" w:rsidRPr="00E92813" w:rsidTr="00490C5A">
        <w:trPr>
          <w:trHeight w:val="360"/>
        </w:trPr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323AB" w:rsidRPr="007A2F7B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7A2F7B">
              <w:rPr>
                <w:rFonts w:cs="Arial"/>
              </w:rPr>
              <w:t>VENTANA SP142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7A2F7B">
              <w:rPr>
                <w:rFonts w:cs="Arial"/>
              </w:rPr>
              <w:t>83.5% (79.2%)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7A2F7B">
              <w:rPr>
                <w:rFonts w:cs="Arial"/>
              </w:rPr>
              <w:t>64.4% (55.8%)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:rsidR="009323AB" w:rsidRPr="007A2F7B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7A2F7B">
              <w:rPr>
                <w:rFonts w:cs="Arial"/>
              </w:rPr>
              <w:t>96.1% (92.5%)</w:t>
            </w:r>
          </w:p>
        </w:tc>
      </w:tr>
      <w:tr w:rsidR="009323AB" w:rsidRPr="00E92813" w:rsidTr="00490C5A">
        <w:trPr>
          <w:trHeight w:val="360"/>
        </w:trPr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323AB" w:rsidRPr="00E92813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  <w:r w:rsidRPr="00E92813">
              <w:rPr>
                <w:rFonts w:cs="Arial"/>
              </w:rPr>
              <w:t>CPS ≥1</w:t>
            </w:r>
          </w:p>
          <w:p w:rsidR="009323AB" w:rsidRPr="00E92813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  <w:r w:rsidRPr="00E92813">
              <w:rPr>
                <w:rFonts w:cs="Arial"/>
              </w:rPr>
              <w:t>(PD-L1 IHC 22C3 pharmDX)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PD-L1 IHC 22C3 pharmDX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76.9% (72.1%)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93.1% (87.4%)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66.2% (59.4%)</w:t>
            </w:r>
          </w:p>
        </w:tc>
      </w:tr>
      <w:tr w:rsidR="009323AB" w:rsidRPr="00E92813" w:rsidTr="00490C5A">
        <w:trPr>
          <w:trHeight w:val="360"/>
        </w:trPr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323AB" w:rsidRPr="00E92813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  <w:r w:rsidRPr="00E92813">
              <w:rPr>
                <w:rFonts w:cs="Arial"/>
              </w:rPr>
              <w:t>CPS ≥10</w:t>
            </w:r>
          </w:p>
          <w:p w:rsidR="009323AB" w:rsidRPr="00E92813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  <w:r w:rsidRPr="00E92813">
              <w:rPr>
                <w:rFonts w:cs="Arial"/>
              </w:rPr>
              <w:t xml:space="preserve">(PD-L1 IHC 22C3 pharmDX) 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PD-L1 IHC 22C3 pharmDX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82.0% (77.5%)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69.3% (60.9%)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90.3% (85.4%)</w:t>
            </w:r>
          </w:p>
        </w:tc>
      </w:tr>
      <w:tr w:rsidR="009323AB" w:rsidRPr="00E92813" w:rsidTr="00490C5A">
        <w:trPr>
          <w:trHeight w:val="360"/>
        </w:trPr>
        <w:tc>
          <w:tcPr>
            <w:tcW w:w="190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323AB" w:rsidRPr="00E92813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  <w:r w:rsidRPr="00E92813">
              <w:rPr>
                <w:rFonts w:cs="Arial"/>
              </w:rPr>
              <w:t>TC ≥1%</w:t>
            </w:r>
          </w:p>
          <w:p w:rsidR="009323AB" w:rsidRPr="00E92813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  <w:r w:rsidRPr="00E92813">
              <w:rPr>
                <w:rFonts w:cs="Arial"/>
              </w:rPr>
              <w:t>(PD-L1 IHC 28-8 pharmDX)</w:t>
            </w:r>
          </w:p>
        </w:tc>
        <w:tc>
          <w:tcPr>
            <w:tcW w:w="203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PD-L1 IHC 28-8 pharmDX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75.7% (70.9%)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72.3% (64.0%)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77.9% (71.7%)</w:t>
            </w:r>
          </w:p>
        </w:tc>
      </w:tr>
      <w:tr w:rsidR="009323AB" w:rsidRPr="00E92813" w:rsidTr="00490C5A">
        <w:trPr>
          <w:trHeight w:val="360"/>
        </w:trPr>
        <w:tc>
          <w:tcPr>
            <w:tcW w:w="1904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323AB" w:rsidRPr="00E92813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  <w:r w:rsidRPr="00E92813">
              <w:rPr>
                <w:rFonts w:cs="Arial"/>
              </w:rPr>
              <w:t>IC</w:t>
            </w:r>
            <w:r w:rsidRPr="00E92813">
              <w:rPr>
                <w:rFonts w:cs="Arial"/>
                <w:vertAlign w:val="subscript"/>
              </w:rPr>
              <w:t xml:space="preserve">TumorArea </w:t>
            </w:r>
            <w:r w:rsidRPr="00E92813">
              <w:rPr>
                <w:rFonts w:cs="Arial"/>
              </w:rPr>
              <w:t>≥5%</w:t>
            </w:r>
          </w:p>
          <w:p w:rsidR="009323AB" w:rsidRPr="00E92813" w:rsidRDefault="009323AB" w:rsidP="00490C5A">
            <w:pPr>
              <w:pStyle w:val="NoSpacing"/>
              <w:spacing w:line="480" w:lineRule="auto"/>
              <w:ind w:left="359" w:hanging="359"/>
              <w:rPr>
                <w:rFonts w:cs="Arial"/>
              </w:rPr>
            </w:pPr>
            <w:r w:rsidRPr="00E92813">
              <w:rPr>
                <w:rFonts w:cs="Arial"/>
              </w:rPr>
              <w:t>(VENTANA SP142)</w:t>
            </w:r>
          </w:p>
        </w:tc>
        <w:tc>
          <w:tcPr>
            <w:tcW w:w="2038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VENTANA SP142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66.3% (61.1%)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15.8% (10.2%)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</w:tcPr>
          <w:p w:rsidR="009323AB" w:rsidRPr="00E92813" w:rsidRDefault="009323AB" w:rsidP="00490C5A">
            <w:pPr>
              <w:pStyle w:val="NoSpacing"/>
              <w:spacing w:line="480" w:lineRule="auto"/>
              <w:rPr>
                <w:rFonts w:cs="Arial"/>
              </w:rPr>
            </w:pPr>
            <w:r w:rsidRPr="00E92813">
              <w:rPr>
                <w:rFonts w:cs="Arial"/>
              </w:rPr>
              <w:t>99.4% (97.0%)</w:t>
            </w:r>
          </w:p>
        </w:tc>
      </w:tr>
    </w:tbl>
    <w:p w:rsidR="009323AB" w:rsidRDefault="009323AB" w:rsidP="009323AB">
      <w:pPr>
        <w:rPr>
          <w:sz w:val="24"/>
        </w:rPr>
      </w:pPr>
    </w:p>
    <w:p w:rsidR="0078325F" w:rsidRDefault="0078325F">
      <w:bookmarkStart w:id="1" w:name="_GoBack"/>
      <w:bookmarkEnd w:id="1"/>
    </w:p>
    <w:sectPr w:rsidR="0078325F" w:rsidSect="0078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9323AB"/>
    <w:rsid w:val="001F45D4"/>
    <w:rsid w:val="007657E0"/>
    <w:rsid w:val="0078325F"/>
    <w:rsid w:val="009323AB"/>
    <w:rsid w:val="00A128D9"/>
    <w:rsid w:val="00F1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D9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A128D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8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D9"/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styleId="Strong">
    <w:name w:val="Strong"/>
    <w:uiPriority w:val="22"/>
    <w:qFormat/>
    <w:rsid w:val="00A128D9"/>
    <w:rPr>
      <w:b/>
      <w:bCs/>
    </w:rPr>
  </w:style>
  <w:style w:type="paragraph" w:styleId="NoSpacing">
    <w:name w:val="No Spacing"/>
    <w:link w:val="NoSpacingChar"/>
    <w:uiPriority w:val="1"/>
    <w:qFormat/>
    <w:rsid w:val="00A128D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28D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28D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D9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A128D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8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D9"/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styleId="Strong">
    <w:name w:val="Strong"/>
    <w:uiPriority w:val="22"/>
    <w:qFormat/>
    <w:rsid w:val="00A128D9"/>
    <w:rPr>
      <w:b/>
      <w:bCs/>
    </w:rPr>
  </w:style>
  <w:style w:type="paragraph" w:styleId="NoSpacing">
    <w:name w:val="No Spacing"/>
    <w:link w:val="NoSpacingChar"/>
    <w:uiPriority w:val="1"/>
    <w:qFormat/>
    <w:rsid w:val="00A128D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28D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28D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GBALAOBAO</dc:creator>
  <cp:lastModifiedBy>aletegio</cp:lastModifiedBy>
  <cp:revision>2</cp:revision>
  <dcterms:created xsi:type="dcterms:W3CDTF">2019-08-19T17:42:00Z</dcterms:created>
  <dcterms:modified xsi:type="dcterms:W3CDTF">2019-08-20T00:47:00Z</dcterms:modified>
</cp:coreProperties>
</file>