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1C" w:rsidRPr="008B0452" w:rsidRDefault="00BA4A1C" w:rsidP="00BA4A1C">
      <w:pPr>
        <w:pStyle w:val="Heading3"/>
        <w:jc w:val="left"/>
      </w:pPr>
      <w:bookmarkStart w:id="0" w:name="_GoBack"/>
      <w:bookmarkEnd w:id="0"/>
      <w:r>
        <w:t>Additional file 1:</w:t>
      </w:r>
      <w:r w:rsidRPr="008B0452">
        <w:t xml:space="preserve"> Scope </w:t>
      </w:r>
      <w:r>
        <w:t xml:space="preserve">and development group members </w:t>
      </w:r>
      <w:r w:rsidRPr="008B0452">
        <w:t>of CPGs</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070"/>
        <w:gridCol w:w="3690"/>
        <w:gridCol w:w="7380"/>
      </w:tblGrid>
      <w:tr w:rsidR="00BA4A1C" w:rsidRPr="008B0452" w:rsidTr="00E42EFA">
        <w:tc>
          <w:tcPr>
            <w:tcW w:w="1458" w:type="dxa"/>
          </w:tcPr>
          <w:p w:rsidR="00BA4A1C" w:rsidRPr="00D34FFC" w:rsidRDefault="00BA4A1C" w:rsidP="00CA6BD3">
            <w:pPr>
              <w:spacing w:after="0" w:line="360" w:lineRule="auto"/>
              <w:rPr>
                <w:rFonts w:ascii="Arial" w:hAnsi="Arial" w:cs="Arial"/>
                <w:b/>
              </w:rPr>
            </w:pPr>
          </w:p>
        </w:tc>
        <w:tc>
          <w:tcPr>
            <w:tcW w:w="2070" w:type="dxa"/>
          </w:tcPr>
          <w:p w:rsidR="00BA4A1C" w:rsidRPr="008B0452" w:rsidRDefault="00BA4A1C" w:rsidP="00CA6BD3">
            <w:pPr>
              <w:spacing w:after="0" w:line="360" w:lineRule="auto"/>
              <w:rPr>
                <w:rFonts w:ascii="Arial" w:hAnsi="Arial" w:cs="Arial"/>
                <w:b/>
              </w:rPr>
            </w:pPr>
            <w:r w:rsidRPr="008B0452">
              <w:rPr>
                <w:rFonts w:ascii="Arial" w:hAnsi="Arial" w:cs="Arial"/>
                <w:b/>
              </w:rPr>
              <w:t>Nr of development group members</w:t>
            </w:r>
          </w:p>
        </w:tc>
        <w:tc>
          <w:tcPr>
            <w:tcW w:w="3690" w:type="dxa"/>
          </w:tcPr>
          <w:p w:rsidR="00BA4A1C" w:rsidRPr="00A41A36" w:rsidRDefault="00BA4A1C" w:rsidP="00CA6BD3">
            <w:pPr>
              <w:spacing w:after="0" w:line="360" w:lineRule="auto"/>
              <w:rPr>
                <w:rFonts w:ascii="Arial" w:hAnsi="Arial" w:cs="Arial"/>
                <w:b/>
              </w:rPr>
            </w:pPr>
            <w:r w:rsidRPr="00A41A36">
              <w:rPr>
                <w:rFonts w:ascii="Arial" w:hAnsi="Arial" w:cs="Arial"/>
                <w:b/>
              </w:rPr>
              <w:t>Professions included</w:t>
            </w:r>
          </w:p>
        </w:tc>
        <w:tc>
          <w:tcPr>
            <w:tcW w:w="7380" w:type="dxa"/>
          </w:tcPr>
          <w:p w:rsidR="00BA4A1C" w:rsidRPr="008B0452" w:rsidRDefault="00BA4A1C" w:rsidP="00CA6BD3">
            <w:pPr>
              <w:spacing w:after="0" w:line="360" w:lineRule="auto"/>
              <w:rPr>
                <w:rFonts w:ascii="Arial" w:hAnsi="Arial" w:cs="Arial"/>
                <w:b/>
                <w:color w:val="000000" w:themeColor="text1"/>
              </w:rPr>
            </w:pPr>
            <w:r w:rsidRPr="008B0452">
              <w:rPr>
                <w:rFonts w:ascii="Arial" w:hAnsi="Arial" w:cs="Arial"/>
                <w:b/>
                <w:color w:val="000000" w:themeColor="text1"/>
              </w:rPr>
              <w:t>Stated objective/scope of CPG</w:t>
            </w:r>
          </w:p>
        </w:tc>
      </w:tr>
      <w:tr w:rsidR="00BA4A1C" w:rsidRPr="008B0452" w:rsidTr="00E42EFA">
        <w:tc>
          <w:tcPr>
            <w:tcW w:w="1458" w:type="dxa"/>
          </w:tcPr>
          <w:p w:rsidR="00BA4A1C" w:rsidRPr="00D34FFC" w:rsidRDefault="00BA4A1C" w:rsidP="00CA6BD3">
            <w:pPr>
              <w:spacing w:after="0" w:line="360" w:lineRule="auto"/>
              <w:jc w:val="center"/>
              <w:rPr>
                <w:rFonts w:ascii="Arial" w:hAnsi="Arial" w:cs="Arial"/>
                <w:b/>
              </w:rPr>
            </w:pPr>
            <w:r w:rsidRPr="00D34FFC">
              <w:rPr>
                <w:rFonts w:ascii="Arial" w:hAnsi="Arial" w:cs="Arial"/>
                <w:b/>
              </w:rPr>
              <w:t>CPG 1 (ASIPP)</w:t>
            </w:r>
          </w:p>
        </w:tc>
        <w:tc>
          <w:tcPr>
            <w:tcW w:w="2070" w:type="dxa"/>
          </w:tcPr>
          <w:p w:rsidR="00BA4A1C" w:rsidRPr="008B0452" w:rsidRDefault="00BA4A1C" w:rsidP="00CA6BD3">
            <w:pPr>
              <w:spacing w:after="0" w:line="360" w:lineRule="auto"/>
              <w:rPr>
                <w:rFonts w:ascii="Arial" w:hAnsi="Arial" w:cs="Arial"/>
              </w:rPr>
            </w:pPr>
            <w:r w:rsidRPr="008B0452">
              <w:rPr>
                <w:rFonts w:ascii="Arial" w:hAnsi="Arial" w:cs="Arial"/>
              </w:rPr>
              <w:t>55</w:t>
            </w:r>
          </w:p>
        </w:tc>
        <w:tc>
          <w:tcPr>
            <w:tcW w:w="3690" w:type="dxa"/>
          </w:tcPr>
          <w:p w:rsidR="00BA4A1C" w:rsidRPr="00A41A36" w:rsidRDefault="00BA4A1C" w:rsidP="00CA6BD3">
            <w:pPr>
              <w:spacing w:after="0" w:line="360" w:lineRule="auto"/>
              <w:rPr>
                <w:rFonts w:ascii="Arial" w:hAnsi="Arial" w:cs="Arial"/>
              </w:rPr>
            </w:pPr>
            <w:r w:rsidRPr="00A41A36">
              <w:rPr>
                <w:rFonts w:ascii="Arial" w:hAnsi="Arial" w:cs="Arial"/>
              </w:rPr>
              <w:t>2 pharmacists, 2 psychologists, 2 registered nurses, 1 statistician, 1 physical therapist, 2 research coordinators, 1 librarian, 1 academic radiologist, 3 residents or fellows, and the remaining (40) were practicing interventional pain physicians, either in an academic setting or in private practice</w:t>
            </w:r>
          </w:p>
        </w:tc>
        <w:tc>
          <w:tcPr>
            <w:tcW w:w="7380" w:type="dxa"/>
          </w:tcPr>
          <w:p w:rsidR="00BA4A1C" w:rsidRPr="008B0452" w:rsidRDefault="00BA4A1C" w:rsidP="00CA6BD3">
            <w:pPr>
              <w:spacing w:after="0" w:line="360" w:lineRule="auto"/>
              <w:rPr>
                <w:rFonts w:ascii="Arial" w:hAnsi="Arial" w:cs="Arial"/>
                <w:color w:val="000000" w:themeColor="text1"/>
              </w:rPr>
            </w:pPr>
            <w:r w:rsidRPr="008B0452">
              <w:rPr>
                <w:rFonts w:ascii="Arial" w:eastAsia="Times New Roman" w:hAnsi="Arial" w:cs="Arial"/>
                <w:color w:val="000000" w:themeColor="text1"/>
              </w:rPr>
              <w:t>To provide guidance for the use of opioids for the treatment of chronic non-cancer pain, to produce consistency in the application of an opioid philosophy among the many diverse groups involved, to improve the treatment of chronic non-cancer pain, and to reduce the incidence of abuse and drug diversion. The focus of these guidelines is to curtail the abuse of opioids without jeopardizing non-cancer pain management with opioids.</w:t>
            </w:r>
          </w:p>
        </w:tc>
      </w:tr>
      <w:tr w:rsidR="00BA4A1C" w:rsidRPr="008B0452" w:rsidTr="00E42EFA">
        <w:tc>
          <w:tcPr>
            <w:tcW w:w="1458" w:type="dxa"/>
          </w:tcPr>
          <w:p w:rsidR="00BA4A1C" w:rsidRPr="00D34FFC" w:rsidRDefault="00BA4A1C" w:rsidP="00CA6BD3">
            <w:pPr>
              <w:spacing w:after="0" w:line="360" w:lineRule="auto"/>
              <w:jc w:val="center"/>
              <w:rPr>
                <w:rFonts w:ascii="Arial" w:hAnsi="Arial" w:cs="Arial"/>
                <w:b/>
              </w:rPr>
            </w:pPr>
            <w:r w:rsidRPr="00D34FFC">
              <w:rPr>
                <w:rFonts w:ascii="Arial" w:hAnsi="Arial" w:cs="Arial"/>
                <w:b/>
              </w:rPr>
              <w:t>CPG 2      (ICSI)</w:t>
            </w:r>
          </w:p>
        </w:tc>
        <w:tc>
          <w:tcPr>
            <w:tcW w:w="2070" w:type="dxa"/>
          </w:tcPr>
          <w:p w:rsidR="00BA4A1C" w:rsidRPr="008B0452" w:rsidRDefault="00BA4A1C" w:rsidP="00CA6BD3">
            <w:pPr>
              <w:spacing w:after="0" w:line="360" w:lineRule="auto"/>
              <w:rPr>
                <w:rFonts w:ascii="Arial" w:hAnsi="Arial" w:cs="Arial"/>
              </w:rPr>
            </w:pPr>
            <w:r w:rsidRPr="008B0452">
              <w:rPr>
                <w:rFonts w:ascii="Arial" w:hAnsi="Arial" w:cs="Arial"/>
              </w:rPr>
              <w:t>12 working group members</w:t>
            </w:r>
          </w:p>
        </w:tc>
        <w:tc>
          <w:tcPr>
            <w:tcW w:w="3690" w:type="dxa"/>
          </w:tcPr>
          <w:p w:rsidR="00BA4A1C" w:rsidRPr="00A41A36" w:rsidRDefault="00BA4A1C" w:rsidP="00CA6BD3">
            <w:pPr>
              <w:spacing w:after="0" w:line="360" w:lineRule="auto"/>
              <w:rPr>
                <w:rFonts w:ascii="Arial" w:hAnsi="Arial" w:cs="Arial"/>
              </w:rPr>
            </w:pPr>
            <w:r w:rsidRPr="00A41A36">
              <w:rPr>
                <w:rFonts w:ascii="Arial" w:hAnsi="Arial" w:cs="Arial"/>
              </w:rPr>
              <w:t>1 clinical psychologist; 3 pharmacists; 7 medical doctors or varying specialities; 2 unclear</w:t>
            </w:r>
          </w:p>
        </w:tc>
        <w:tc>
          <w:tcPr>
            <w:tcW w:w="7380" w:type="dxa"/>
          </w:tcPr>
          <w:p w:rsidR="00BA4A1C" w:rsidRPr="008B0452" w:rsidRDefault="00BA4A1C" w:rsidP="00CA6BD3">
            <w:pPr>
              <w:spacing w:after="0" w:line="360" w:lineRule="auto"/>
              <w:rPr>
                <w:rFonts w:ascii="Arial" w:hAnsi="Arial" w:cs="Arial"/>
              </w:rPr>
            </w:pPr>
            <w:r w:rsidRPr="008B0452">
              <w:rPr>
                <w:rFonts w:ascii="Arial" w:hAnsi="Arial" w:cs="Arial"/>
              </w:rPr>
              <w:t>The guideline will address the management of chronic pain for adults.  It can be applied to paediatric populations where noted.  It is not intended for the treatment of migraine headaches, cancer pain, advanced cancer pain, or in the context of palliative care or end-of-life management.  Topics of addiction, withdrawal, tapering or methadone are not inclusively addressed within the context of this guideline.</w:t>
            </w:r>
          </w:p>
        </w:tc>
      </w:tr>
      <w:tr w:rsidR="00BA4A1C" w:rsidRPr="008B0452" w:rsidTr="00E42EFA">
        <w:tc>
          <w:tcPr>
            <w:tcW w:w="1458" w:type="dxa"/>
          </w:tcPr>
          <w:p w:rsidR="00BA4A1C" w:rsidRPr="00D34FFC" w:rsidRDefault="00BA4A1C" w:rsidP="00CA6BD3">
            <w:pPr>
              <w:spacing w:after="0" w:line="360" w:lineRule="auto"/>
              <w:jc w:val="center"/>
              <w:rPr>
                <w:rFonts w:ascii="Arial" w:hAnsi="Arial" w:cs="Arial"/>
                <w:b/>
              </w:rPr>
            </w:pPr>
            <w:r w:rsidRPr="00D34FFC">
              <w:rPr>
                <w:rFonts w:ascii="Arial" w:hAnsi="Arial" w:cs="Arial"/>
                <w:b/>
              </w:rPr>
              <w:t xml:space="preserve">CPG 3 (NOUGG) </w:t>
            </w:r>
          </w:p>
        </w:tc>
        <w:tc>
          <w:tcPr>
            <w:tcW w:w="2070" w:type="dxa"/>
          </w:tcPr>
          <w:p w:rsidR="00BA4A1C" w:rsidRPr="008B0452" w:rsidRDefault="00BA4A1C" w:rsidP="00CA6BD3">
            <w:pPr>
              <w:spacing w:after="0" w:line="360" w:lineRule="auto"/>
              <w:rPr>
                <w:rFonts w:ascii="Arial" w:hAnsi="Arial" w:cs="Arial"/>
              </w:rPr>
            </w:pPr>
            <w:r w:rsidRPr="008B0452">
              <w:rPr>
                <w:rFonts w:ascii="Arial" w:hAnsi="Arial" w:cs="Arial"/>
              </w:rPr>
              <w:t xml:space="preserve">Three groups were involved in developing the Canadian Guideline: National Opioid Use Guideline Group </w:t>
            </w:r>
            <w:r w:rsidRPr="008B0452">
              <w:rPr>
                <w:rFonts w:ascii="Arial" w:hAnsi="Arial" w:cs="Arial"/>
              </w:rPr>
              <w:lastRenderedPageBreak/>
              <w:t>(NOUGG), Research Group, and National Advisory Panel (NAP).</w:t>
            </w:r>
          </w:p>
        </w:tc>
        <w:tc>
          <w:tcPr>
            <w:tcW w:w="3690" w:type="dxa"/>
          </w:tcPr>
          <w:p w:rsidR="00BA4A1C" w:rsidRPr="00A41A36" w:rsidRDefault="00BA4A1C" w:rsidP="00CA6BD3">
            <w:pPr>
              <w:spacing w:after="0" w:line="360" w:lineRule="auto"/>
              <w:rPr>
                <w:rFonts w:ascii="Arial" w:hAnsi="Arial" w:cs="Arial"/>
              </w:rPr>
            </w:pPr>
            <w:r w:rsidRPr="00A41A36">
              <w:rPr>
                <w:rFonts w:ascii="Arial" w:hAnsi="Arial" w:cs="Arial"/>
              </w:rPr>
              <w:lastRenderedPageBreak/>
              <w:t>NOUGG is a task-specific group (19 members) (1 pharmacist)</w:t>
            </w:r>
          </w:p>
          <w:p w:rsidR="00BA4A1C" w:rsidRPr="00A41A36" w:rsidRDefault="00BA4A1C" w:rsidP="00CA6BD3">
            <w:pPr>
              <w:spacing w:after="0" w:line="360" w:lineRule="auto"/>
              <w:rPr>
                <w:rFonts w:ascii="Arial" w:hAnsi="Arial" w:cs="Arial"/>
              </w:rPr>
            </w:pPr>
            <w:r w:rsidRPr="00A41A36">
              <w:rPr>
                <w:rFonts w:ascii="Arial" w:hAnsi="Arial" w:cs="Arial"/>
              </w:rPr>
              <w:t>The Research group comprised six members: a physician/epidemiologist, four physician-researchers, and a research librarian.</w:t>
            </w:r>
          </w:p>
          <w:p w:rsidR="00BA4A1C" w:rsidRPr="00A41A36" w:rsidRDefault="00BA4A1C" w:rsidP="00CA6BD3">
            <w:pPr>
              <w:spacing w:after="0" w:line="360" w:lineRule="auto"/>
              <w:rPr>
                <w:rFonts w:ascii="Arial" w:hAnsi="Arial" w:cs="Arial"/>
              </w:rPr>
            </w:pPr>
            <w:r w:rsidRPr="00A41A36">
              <w:rPr>
                <w:rFonts w:ascii="Arial" w:hAnsi="Arial" w:cs="Arial"/>
              </w:rPr>
              <w:lastRenderedPageBreak/>
              <w:t>NAP is a group of 49 individuals from across Canada</w:t>
            </w:r>
          </w:p>
          <w:p w:rsidR="00BA4A1C" w:rsidRPr="00A41A36" w:rsidRDefault="00BA4A1C" w:rsidP="00CA6BD3">
            <w:pPr>
              <w:spacing w:after="0" w:line="360" w:lineRule="auto"/>
              <w:rPr>
                <w:rFonts w:ascii="Arial" w:hAnsi="Arial" w:cs="Arial"/>
              </w:rPr>
            </w:pPr>
            <w:r w:rsidRPr="00A41A36">
              <w:rPr>
                <w:rFonts w:ascii="Arial" w:hAnsi="Arial" w:cs="Arial"/>
              </w:rPr>
              <w:t xml:space="preserve">(2 pharmacists; 1 psychologist) </w:t>
            </w:r>
          </w:p>
        </w:tc>
        <w:tc>
          <w:tcPr>
            <w:tcW w:w="7380" w:type="dxa"/>
          </w:tcPr>
          <w:p w:rsidR="00BA4A1C" w:rsidRPr="008B0452" w:rsidRDefault="00BA4A1C" w:rsidP="00CA6BD3">
            <w:pPr>
              <w:spacing w:after="0" w:line="360" w:lineRule="auto"/>
              <w:rPr>
                <w:rFonts w:ascii="Arial" w:hAnsi="Arial" w:cs="Arial"/>
              </w:rPr>
            </w:pPr>
            <w:r w:rsidRPr="008B0452">
              <w:rPr>
                <w:rFonts w:ascii="Arial" w:hAnsi="Arial" w:cs="Arial"/>
              </w:rPr>
              <w:lastRenderedPageBreak/>
              <w:t xml:space="preserve">The Canadian Guideline is intended to assist physicians with decisions to initiate appropriate trials of opioid therapy for patients with chronic non-cancer pain, to monitor long-term opioid therapy, and to detect and respond appropriately to situations of opioid misuse including addiction. It was not designed to serve as a standard of care nor as a training manual.  The document addresses safe and effective prescribing of opioids for CNCP (defined as pain that persists for more </w:t>
            </w:r>
            <w:r w:rsidRPr="008B0452">
              <w:rPr>
                <w:rFonts w:ascii="Arial" w:hAnsi="Arial" w:cs="Arial"/>
              </w:rPr>
              <w:lastRenderedPageBreak/>
              <w:t>than six months) in male and female adolescents and adults. The</w:t>
            </w:r>
            <w:r w:rsidRPr="00E91CF6">
              <w:rPr>
                <w:rFonts w:ascii="Arial" w:hAnsi="Arial" w:cs="Arial"/>
              </w:rPr>
              <w:t xml:space="preserve"> target audience i</w:t>
            </w:r>
            <w:r w:rsidRPr="008B0452">
              <w:rPr>
                <w:rFonts w:ascii="Arial" w:hAnsi="Arial" w:cs="Arial"/>
              </w:rPr>
              <w:t>s primary-care physicians and medical and surgical specialists who manage patients with CNCP. Pharmacists, nurses, and dentists may also find it useful. The scope does not include using opioids for acute pain and end-of-life pain, or CNCP treatment modalities and approaches other than opioids.</w:t>
            </w:r>
          </w:p>
        </w:tc>
      </w:tr>
      <w:tr w:rsidR="00BA4A1C" w:rsidRPr="008B0452" w:rsidTr="00E42EFA">
        <w:tc>
          <w:tcPr>
            <w:tcW w:w="1458" w:type="dxa"/>
          </w:tcPr>
          <w:p w:rsidR="00BA4A1C" w:rsidRPr="00D34FFC" w:rsidRDefault="00BA4A1C" w:rsidP="00CA6BD3">
            <w:pPr>
              <w:spacing w:after="0" w:line="360" w:lineRule="auto"/>
              <w:jc w:val="center"/>
              <w:rPr>
                <w:rFonts w:ascii="Arial" w:hAnsi="Arial" w:cs="Arial"/>
                <w:b/>
              </w:rPr>
            </w:pPr>
            <w:r w:rsidRPr="00D34FFC">
              <w:rPr>
                <w:rFonts w:ascii="Arial" w:hAnsi="Arial" w:cs="Arial"/>
                <w:b/>
              </w:rPr>
              <w:lastRenderedPageBreak/>
              <w:t xml:space="preserve">CPG 4 </w:t>
            </w:r>
          </w:p>
          <w:p w:rsidR="00BA4A1C" w:rsidRPr="00D34FFC" w:rsidRDefault="00BA4A1C" w:rsidP="00CA6BD3">
            <w:pPr>
              <w:spacing w:after="0" w:line="360" w:lineRule="auto"/>
              <w:jc w:val="center"/>
              <w:rPr>
                <w:rFonts w:ascii="Arial" w:hAnsi="Arial" w:cs="Arial"/>
                <w:b/>
              </w:rPr>
            </w:pPr>
            <w:r w:rsidRPr="00D34FFC">
              <w:rPr>
                <w:rFonts w:ascii="Arial" w:hAnsi="Arial" w:cs="Arial"/>
                <w:b/>
              </w:rPr>
              <w:t>(RNAO)</w:t>
            </w:r>
          </w:p>
        </w:tc>
        <w:tc>
          <w:tcPr>
            <w:tcW w:w="2070" w:type="dxa"/>
          </w:tcPr>
          <w:p w:rsidR="00BA4A1C" w:rsidRPr="008B0452" w:rsidRDefault="00BA4A1C" w:rsidP="00CA6BD3">
            <w:pPr>
              <w:spacing w:after="0" w:line="360" w:lineRule="auto"/>
              <w:rPr>
                <w:rFonts w:ascii="Arial" w:hAnsi="Arial" w:cs="Arial"/>
              </w:rPr>
            </w:pPr>
            <w:r w:rsidRPr="008B0452">
              <w:rPr>
                <w:rFonts w:ascii="Arial" w:hAnsi="Arial" w:cs="Arial"/>
              </w:rPr>
              <w:t>Expert panel = 13</w:t>
            </w:r>
          </w:p>
          <w:p w:rsidR="00BA4A1C" w:rsidRPr="008B0452" w:rsidRDefault="00BA4A1C" w:rsidP="00CA6BD3">
            <w:pPr>
              <w:spacing w:after="0" w:line="360" w:lineRule="auto"/>
              <w:rPr>
                <w:rFonts w:ascii="Arial" w:hAnsi="Arial" w:cs="Arial"/>
              </w:rPr>
            </w:pPr>
            <w:r w:rsidRPr="008B0452">
              <w:rPr>
                <w:rFonts w:ascii="Arial" w:hAnsi="Arial" w:cs="Arial"/>
              </w:rPr>
              <w:t>Best Practice guideline team = 7</w:t>
            </w:r>
          </w:p>
          <w:p w:rsidR="00BA4A1C" w:rsidRPr="008B0452" w:rsidRDefault="00BA4A1C" w:rsidP="00CA6BD3">
            <w:pPr>
              <w:spacing w:after="0" w:line="360" w:lineRule="auto"/>
              <w:rPr>
                <w:rFonts w:ascii="Arial" w:hAnsi="Arial" w:cs="Arial"/>
              </w:rPr>
            </w:pPr>
            <w:r w:rsidRPr="008B0452">
              <w:rPr>
                <w:rFonts w:ascii="Arial" w:hAnsi="Arial" w:cs="Arial"/>
              </w:rPr>
              <w:t>Stakeholder team = 28</w:t>
            </w:r>
          </w:p>
        </w:tc>
        <w:tc>
          <w:tcPr>
            <w:tcW w:w="3690" w:type="dxa"/>
          </w:tcPr>
          <w:p w:rsidR="00BA4A1C" w:rsidRPr="00A41A36" w:rsidRDefault="00BA4A1C" w:rsidP="00CA6BD3">
            <w:pPr>
              <w:spacing w:after="0" w:line="360" w:lineRule="auto"/>
              <w:rPr>
                <w:rFonts w:ascii="Arial" w:hAnsi="Arial" w:cs="Arial"/>
              </w:rPr>
            </w:pPr>
            <w:r w:rsidRPr="00A41A36">
              <w:rPr>
                <w:rFonts w:ascii="Arial" w:hAnsi="Arial" w:cs="Arial"/>
              </w:rPr>
              <w:t>All registered nurses; 1 project coordinator; 2 medical doctors</w:t>
            </w:r>
          </w:p>
          <w:p w:rsidR="00BA4A1C" w:rsidRPr="00A41A36" w:rsidRDefault="00BA4A1C" w:rsidP="00CA6BD3">
            <w:pPr>
              <w:spacing w:after="0" w:line="360" w:lineRule="auto"/>
              <w:rPr>
                <w:rFonts w:ascii="Arial" w:hAnsi="Arial" w:cs="Arial"/>
              </w:rPr>
            </w:pPr>
          </w:p>
        </w:tc>
        <w:tc>
          <w:tcPr>
            <w:tcW w:w="7380" w:type="dxa"/>
          </w:tcPr>
          <w:p w:rsidR="00BA4A1C" w:rsidRPr="008B0452" w:rsidRDefault="00BA4A1C" w:rsidP="00CA6BD3">
            <w:pPr>
              <w:spacing w:after="0" w:line="360" w:lineRule="auto"/>
              <w:rPr>
                <w:rFonts w:ascii="Arial" w:hAnsi="Arial" w:cs="Arial"/>
              </w:rPr>
            </w:pPr>
            <w:r w:rsidRPr="008B0452">
              <w:rPr>
                <w:rFonts w:ascii="Arial" w:hAnsi="Arial" w:cs="Arial"/>
              </w:rPr>
              <w:t>This guideline provides evidence-based recommendations for nurses and other members of the inter-professional team who are assessing and managing people with the presence, or risk of, any type of pain.</w:t>
            </w:r>
          </w:p>
        </w:tc>
      </w:tr>
      <w:tr w:rsidR="00BA4A1C" w:rsidRPr="008B0452" w:rsidTr="00E42EFA">
        <w:tc>
          <w:tcPr>
            <w:tcW w:w="1458" w:type="dxa"/>
          </w:tcPr>
          <w:p w:rsidR="00BA4A1C" w:rsidRPr="00D34FFC" w:rsidRDefault="00BA4A1C" w:rsidP="00CA6BD3">
            <w:pPr>
              <w:spacing w:after="0" w:line="360" w:lineRule="auto"/>
              <w:jc w:val="center"/>
              <w:rPr>
                <w:rFonts w:ascii="Arial" w:hAnsi="Arial" w:cs="Arial"/>
                <w:b/>
              </w:rPr>
            </w:pPr>
            <w:r w:rsidRPr="00D34FFC">
              <w:rPr>
                <w:rFonts w:ascii="Arial" w:hAnsi="Arial" w:cs="Arial"/>
                <w:b/>
              </w:rPr>
              <w:t>CPG 5</w:t>
            </w:r>
          </w:p>
          <w:p w:rsidR="00BA4A1C" w:rsidRPr="00D34FFC" w:rsidRDefault="00BA4A1C" w:rsidP="00CA6BD3">
            <w:pPr>
              <w:spacing w:after="0" w:line="360" w:lineRule="auto"/>
              <w:jc w:val="center"/>
              <w:rPr>
                <w:rFonts w:ascii="Arial" w:hAnsi="Arial" w:cs="Arial"/>
                <w:b/>
              </w:rPr>
            </w:pPr>
            <w:r w:rsidRPr="00D34FFC">
              <w:rPr>
                <w:rFonts w:ascii="Arial" w:hAnsi="Arial" w:cs="Arial"/>
                <w:b/>
              </w:rPr>
              <w:t>(SIGN)</w:t>
            </w:r>
          </w:p>
        </w:tc>
        <w:tc>
          <w:tcPr>
            <w:tcW w:w="2070" w:type="dxa"/>
          </w:tcPr>
          <w:p w:rsidR="00BA4A1C" w:rsidRPr="008B0452" w:rsidRDefault="00BA4A1C" w:rsidP="00CA6BD3">
            <w:pPr>
              <w:spacing w:after="0" w:line="360" w:lineRule="auto"/>
              <w:rPr>
                <w:rFonts w:ascii="Arial" w:hAnsi="Arial" w:cs="Arial"/>
              </w:rPr>
            </w:pPr>
            <w:r w:rsidRPr="008B0452">
              <w:rPr>
                <w:rFonts w:ascii="Arial" w:hAnsi="Arial" w:cs="Arial"/>
              </w:rPr>
              <w:t>Development group = 23</w:t>
            </w:r>
          </w:p>
          <w:p w:rsidR="00BA4A1C" w:rsidRPr="008B0452" w:rsidRDefault="00BA4A1C" w:rsidP="00CA6BD3">
            <w:pPr>
              <w:spacing w:after="0" w:line="360" w:lineRule="auto"/>
              <w:rPr>
                <w:rFonts w:ascii="Arial" w:hAnsi="Arial" w:cs="Arial"/>
              </w:rPr>
            </w:pPr>
            <w:r w:rsidRPr="008B0452">
              <w:rPr>
                <w:rFonts w:ascii="Arial" w:hAnsi="Arial" w:cs="Arial"/>
              </w:rPr>
              <w:t>Reviewers = 16</w:t>
            </w:r>
          </w:p>
          <w:p w:rsidR="00BA4A1C" w:rsidRPr="008B0452" w:rsidRDefault="00BA4A1C" w:rsidP="00CA6BD3">
            <w:pPr>
              <w:spacing w:after="0" w:line="360" w:lineRule="auto"/>
              <w:rPr>
                <w:rFonts w:ascii="Arial" w:hAnsi="Arial" w:cs="Arial"/>
              </w:rPr>
            </w:pPr>
            <w:r w:rsidRPr="008B0452">
              <w:rPr>
                <w:rFonts w:ascii="Arial" w:hAnsi="Arial" w:cs="Arial"/>
              </w:rPr>
              <w:t>Editorial group = 7</w:t>
            </w:r>
          </w:p>
        </w:tc>
        <w:tc>
          <w:tcPr>
            <w:tcW w:w="3690" w:type="dxa"/>
          </w:tcPr>
          <w:p w:rsidR="00BA4A1C" w:rsidRPr="00A41A36" w:rsidRDefault="00BA4A1C" w:rsidP="00CA6BD3">
            <w:pPr>
              <w:spacing w:after="0" w:line="360" w:lineRule="auto"/>
              <w:rPr>
                <w:rFonts w:ascii="Arial" w:hAnsi="Arial" w:cs="Arial"/>
              </w:rPr>
            </w:pPr>
            <w:r w:rsidRPr="00A41A36">
              <w:rPr>
                <w:rFonts w:ascii="Arial" w:hAnsi="Arial" w:cs="Arial"/>
              </w:rPr>
              <w:t>7 medical doctors of varying speciality; 2 psychologists; 2 physiotherapists; 2 occupational therapists, 2 pharmacologists; 2 patient representatives; 1 each of the following: nurse, alternative health, evidence and information scientist, program manager.</w:t>
            </w:r>
          </w:p>
        </w:tc>
        <w:tc>
          <w:tcPr>
            <w:tcW w:w="7380" w:type="dxa"/>
          </w:tcPr>
          <w:p w:rsidR="00BA4A1C" w:rsidRPr="008B0452" w:rsidRDefault="00BA4A1C" w:rsidP="00CA6BD3">
            <w:pPr>
              <w:spacing w:after="0" w:line="360" w:lineRule="auto"/>
              <w:rPr>
                <w:rFonts w:ascii="Arial" w:hAnsi="Arial" w:cs="Arial"/>
              </w:rPr>
            </w:pPr>
            <w:r w:rsidRPr="008B0452">
              <w:rPr>
                <w:rFonts w:ascii="Arial" w:hAnsi="Arial" w:cs="Arial"/>
              </w:rPr>
              <w:t xml:space="preserve">This guideline provides recommendations based on current evidence for best practice in the assessment and management of adults with chronic non-malignant pain in non-specialist settings. </w:t>
            </w:r>
          </w:p>
          <w:p w:rsidR="00BA4A1C" w:rsidRPr="008B0452" w:rsidRDefault="00BA4A1C" w:rsidP="00CA6BD3">
            <w:pPr>
              <w:spacing w:after="0" w:line="360" w:lineRule="auto"/>
              <w:rPr>
                <w:rFonts w:ascii="Arial" w:hAnsi="Arial" w:cs="Arial"/>
              </w:rPr>
            </w:pPr>
            <w:r w:rsidRPr="008B0452">
              <w:rPr>
                <w:rFonts w:ascii="Arial" w:hAnsi="Arial" w:cs="Arial"/>
              </w:rPr>
              <w:t>This guideline will be of particular interest to all healthcare professionals involved in the assessment and management of patients with chronic pain, including general practitioners, pharmacists, anaesthetists, psychologists, psychiatrists, physiotherapists, rheumatologists, occupational therapists, nurses, patients, carers and voluntary organisations with an interest in chronic pain.</w:t>
            </w:r>
          </w:p>
        </w:tc>
      </w:tr>
      <w:tr w:rsidR="00BA4A1C" w:rsidRPr="008B0452" w:rsidTr="00E42EFA">
        <w:tc>
          <w:tcPr>
            <w:tcW w:w="1458" w:type="dxa"/>
          </w:tcPr>
          <w:p w:rsidR="00BA4A1C" w:rsidRPr="00D34FFC" w:rsidRDefault="00BA4A1C" w:rsidP="00CA6BD3">
            <w:pPr>
              <w:spacing w:after="0" w:line="360" w:lineRule="auto"/>
              <w:jc w:val="center"/>
              <w:rPr>
                <w:rFonts w:ascii="Arial" w:hAnsi="Arial" w:cs="Arial"/>
                <w:b/>
              </w:rPr>
            </w:pPr>
            <w:r w:rsidRPr="00D34FFC">
              <w:rPr>
                <w:rFonts w:ascii="Arial" w:hAnsi="Arial" w:cs="Arial"/>
                <w:b/>
              </w:rPr>
              <w:t>CPG 6</w:t>
            </w:r>
          </w:p>
          <w:p w:rsidR="00BA4A1C" w:rsidRPr="00D34FFC" w:rsidRDefault="00BA4A1C" w:rsidP="00CA6BD3">
            <w:pPr>
              <w:spacing w:after="0" w:line="360" w:lineRule="auto"/>
              <w:jc w:val="center"/>
              <w:rPr>
                <w:rFonts w:ascii="Arial" w:hAnsi="Arial" w:cs="Arial"/>
                <w:b/>
              </w:rPr>
            </w:pPr>
            <w:r w:rsidRPr="00D34FFC">
              <w:rPr>
                <w:rFonts w:ascii="Arial" w:hAnsi="Arial" w:cs="Arial"/>
                <w:b/>
              </w:rPr>
              <w:t>(UM)</w:t>
            </w:r>
          </w:p>
        </w:tc>
        <w:tc>
          <w:tcPr>
            <w:tcW w:w="2070" w:type="dxa"/>
          </w:tcPr>
          <w:p w:rsidR="00BA4A1C" w:rsidRPr="008B0452" w:rsidRDefault="00BA4A1C" w:rsidP="00CA6BD3">
            <w:pPr>
              <w:spacing w:after="0" w:line="360" w:lineRule="auto"/>
              <w:rPr>
                <w:rFonts w:ascii="Arial" w:hAnsi="Arial" w:cs="Arial"/>
              </w:rPr>
            </w:pPr>
            <w:r w:rsidRPr="008B0452">
              <w:rPr>
                <w:rFonts w:ascii="Arial" w:hAnsi="Arial" w:cs="Arial"/>
              </w:rPr>
              <w:t>5 + 3 consultants</w:t>
            </w:r>
          </w:p>
        </w:tc>
        <w:tc>
          <w:tcPr>
            <w:tcW w:w="3690" w:type="dxa"/>
          </w:tcPr>
          <w:p w:rsidR="00BA4A1C" w:rsidRPr="00A41A36" w:rsidRDefault="00BA4A1C" w:rsidP="00CA6BD3">
            <w:pPr>
              <w:spacing w:after="0" w:line="360" w:lineRule="auto"/>
              <w:rPr>
                <w:rFonts w:ascii="Arial" w:hAnsi="Arial" w:cs="Arial"/>
              </w:rPr>
            </w:pPr>
            <w:r w:rsidRPr="00A41A36">
              <w:rPr>
                <w:rFonts w:ascii="Arial" w:hAnsi="Arial" w:cs="Arial"/>
              </w:rPr>
              <w:t>1 medical educationalist; 1 rehabilitation medicine, 9 medical doctors of varying speciality</w:t>
            </w:r>
          </w:p>
        </w:tc>
        <w:tc>
          <w:tcPr>
            <w:tcW w:w="7380" w:type="dxa"/>
          </w:tcPr>
          <w:p w:rsidR="00BA4A1C" w:rsidRPr="008B0452" w:rsidRDefault="00BA4A1C" w:rsidP="00CA6BD3">
            <w:pPr>
              <w:spacing w:after="0" w:line="360" w:lineRule="auto"/>
              <w:rPr>
                <w:rFonts w:ascii="Arial" w:hAnsi="Arial" w:cs="Arial"/>
              </w:rPr>
            </w:pPr>
            <w:r w:rsidRPr="008B0452">
              <w:rPr>
                <w:rFonts w:ascii="Arial" w:hAnsi="Arial" w:cs="Arial"/>
              </w:rPr>
              <w:t>To provide a systematic framework for providers to evaluate and manage patients with chronic, non-terminal pain with special attention to specific principles of opioid management</w:t>
            </w:r>
            <w:r>
              <w:rPr>
                <w:rFonts w:ascii="Arial" w:hAnsi="Arial" w:cs="Arial"/>
              </w:rPr>
              <w:t>.</w:t>
            </w:r>
          </w:p>
        </w:tc>
      </w:tr>
      <w:tr w:rsidR="00BA4A1C" w:rsidRPr="008B0452" w:rsidTr="00E42EFA">
        <w:tc>
          <w:tcPr>
            <w:tcW w:w="1458" w:type="dxa"/>
          </w:tcPr>
          <w:p w:rsidR="00BA4A1C" w:rsidRPr="00D34FFC" w:rsidRDefault="00BA4A1C" w:rsidP="00CA6BD3">
            <w:pPr>
              <w:spacing w:after="0" w:line="360" w:lineRule="auto"/>
              <w:jc w:val="center"/>
              <w:rPr>
                <w:rFonts w:ascii="Arial" w:hAnsi="Arial" w:cs="Arial"/>
                <w:b/>
              </w:rPr>
            </w:pPr>
            <w:r w:rsidRPr="00D34FFC">
              <w:rPr>
                <w:rFonts w:ascii="Arial" w:hAnsi="Arial" w:cs="Arial"/>
                <w:b/>
              </w:rPr>
              <w:t>CPG 7</w:t>
            </w:r>
          </w:p>
          <w:p w:rsidR="00BA4A1C" w:rsidRPr="00D34FFC" w:rsidRDefault="00BA4A1C" w:rsidP="00CA6BD3">
            <w:pPr>
              <w:spacing w:after="0" w:line="360" w:lineRule="auto"/>
              <w:jc w:val="center"/>
              <w:rPr>
                <w:rFonts w:ascii="Arial" w:eastAsia="Times New Roman" w:hAnsi="Arial" w:cs="Arial"/>
                <w:b/>
              </w:rPr>
            </w:pPr>
            <w:r w:rsidRPr="00D34FFC">
              <w:rPr>
                <w:rFonts w:ascii="Arial" w:eastAsia="Times New Roman" w:hAnsi="Arial" w:cs="Arial"/>
                <w:b/>
              </w:rPr>
              <w:t>(WSAMDG)</w:t>
            </w:r>
          </w:p>
          <w:p w:rsidR="00BA4A1C" w:rsidRPr="00D34FFC" w:rsidRDefault="00BA4A1C" w:rsidP="00CA6BD3">
            <w:pPr>
              <w:spacing w:after="0" w:line="360" w:lineRule="auto"/>
              <w:jc w:val="center"/>
              <w:rPr>
                <w:rFonts w:ascii="Arial" w:hAnsi="Arial" w:cs="Arial"/>
                <w:b/>
              </w:rPr>
            </w:pPr>
            <w:r w:rsidRPr="00D34FFC">
              <w:rPr>
                <w:rFonts w:ascii="Arial" w:eastAsia="Times New Roman" w:hAnsi="Arial" w:cs="Arial"/>
                <w:b/>
              </w:rPr>
              <w:t>interagency</w:t>
            </w:r>
          </w:p>
        </w:tc>
        <w:tc>
          <w:tcPr>
            <w:tcW w:w="2070" w:type="dxa"/>
          </w:tcPr>
          <w:p w:rsidR="00BA4A1C" w:rsidRPr="008B0452" w:rsidRDefault="00BA4A1C" w:rsidP="00CA6BD3">
            <w:pPr>
              <w:spacing w:after="0" w:line="360" w:lineRule="auto"/>
              <w:rPr>
                <w:rFonts w:ascii="Arial" w:hAnsi="Arial" w:cs="Arial"/>
              </w:rPr>
            </w:pPr>
            <w:r w:rsidRPr="008B0452">
              <w:rPr>
                <w:rFonts w:ascii="Arial" w:hAnsi="Arial" w:cs="Arial"/>
              </w:rPr>
              <w:t>There is a list of 27 advisors</w:t>
            </w:r>
          </w:p>
        </w:tc>
        <w:tc>
          <w:tcPr>
            <w:tcW w:w="3690" w:type="dxa"/>
          </w:tcPr>
          <w:p w:rsidR="00BA4A1C" w:rsidRPr="00A41A36" w:rsidRDefault="00BA4A1C" w:rsidP="00CA6BD3">
            <w:pPr>
              <w:spacing w:after="0" w:line="360" w:lineRule="auto"/>
              <w:rPr>
                <w:rFonts w:ascii="Arial" w:hAnsi="Arial" w:cs="Arial"/>
              </w:rPr>
            </w:pPr>
            <w:r w:rsidRPr="00A41A36">
              <w:rPr>
                <w:rFonts w:ascii="Arial" w:hAnsi="Arial" w:cs="Arial"/>
              </w:rPr>
              <w:t>Unable to locate.</w:t>
            </w:r>
          </w:p>
          <w:p w:rsidR="00BA4A1C" w:rsidRPr="00A41A36" w:rsidRDefault="00BA4A1C" w:rsidP="00CA6BD3">
            <w:pPr>
              <w:spacing w:after="0" w:line="360" w:lineRule="auto"/>
              <w:rPr>
                <w:rFonts w:ascii="Arial" w:hAnsi="Arial" w:cs="Arial"/>
              </w:rPr>
            </w:pPr>
          </w:p>
        </w:tc>
        <w:tc>
          <w:tcPr>
            <w:tcW w:w="7380" w:type="dxa"/>
          </w:tcPr>
          <w:p w:rsidR="00BA4A1C" w:rsidRPr="008B0452" w:rsidRDefault="00BA4A1C" w:rsidP="00CA6BD3">
            <w:pPr>
              <w:spacing w:after="0" w:line="360" w:lineRule="auto"/>
              <w:rPr>
                <w:rFonts w:ascii="Arial" w:hAnsi="Arial" w:cs="Arial"/>
              </w:rPr>
            </w:pPr>
            <w:r w:rsidRPr="008B0452">
              <w:rPr>
                <w:rFonts w:ascii="Arial" w:hAnsi="Arial" w:cs="Arial"/>
              </w:rPr>
              <w:t>It is intended as a resource for primary care providers treating patients with chronic non-cancer pain. It does not apply to the treatment of acute pain, cancer pain, or end-of-life (hospice) care.</w:t>
            </w:r>
          </w:p>
        </w:tc>
      </w:tr>
      <w:tr w:rsidR="00BA4A1C" w:rsidRPr="008B0452" w:rsidTr="00E42EFA">
        <w:tc>
          <w:tcPr>
            <w:tcW w:w="1458" w:type="dxa"/>
          </w:tcPr>
          <w:p w:rsidR="00BA4A1C" w:rsidRPr="00D34FFC" w:rsidRDefault="00BA4A1C" w:rsidP="00CA6BD3">
            <w:pPr>
              <w:spacing w:after="0" w:line="360" w:lineRule="auto"/>
              <w:jc w:val="center"/>
              <w:rPr>
                <w:rFonts w:ascii="Arial" w:hAnsi="Arial" w:cs="Arial"/>
                <w:b/>
              </w:rPr>
            </w:pPr>
            <w:r w:rsidRPr="00D34FFC">
              <w:rPr>
                <w:rFonts w:ascii="Arial" w:hAnsi="Arial" w:cs="Arial"/>
                <w:b/>
              </w:rPr>
              <w:lastRenderedPageBreak/>
              <w:t>CPG 8</w:t>
            </w:r>
          </w:p>
          <w:p w:rsidR="00BA4A1C" w:rsidRPr="00D34FFC" w:rsidRDefault="00BA4A1C" w:rsidP="00CA6BD3">
            <w:pPr>
              <w:spacing w:after="0" w:line="360" w:lineRule="auto"/>
              <w:jc w:val="center"/>
              <w:rPr>
                <w:rFonts w:ascii="Arial" w:hAnsi="Arial" w:cs="Arial"/>
                <w:b/>
              </w:rPr>
            </w:pPr>
            <w:r w:rsidRPr="00D34FFC">
              <w:rPr>
                <w:rFonts w:ascii="Arial" w:hAnsi="Arial" w:cs="Arial"/>
                <w:b/>
              </w:rPr>
              <w:t>(AP -AAP)</w:t>
            </w:r>
          </w:p>
        </w:tc>
        <w:tc>
          <w:tcPr>
            <w:tcW w:w="2070" w:type="dxa"/>
          </w:tcPr>
          <w:p w:rsidR="00BA4A1C" w:rsidRPr="008B0452" w:rsidRDefault="00BA4A1C" w:rsidP="00CA6BD3">
            <w:pPr>
              <w:spacing w:after="0" w:line="360" w:lineRule="auto"/>
              <w:rPr>
                <w:rFonts w:ascii="Arial" w:hAnsi="Arial" w:cs="Arial"/>
              </w:rPr>
            </w:pPr>
            <w:r w:rsidRPr="008B0452">
              <w:rPr>
                <w:rFonts w:ascii="Arial" w:hAnsi="Arial" w:cs="Arial"/>
              </w:rPr>
              <w:t>21</w:t>
            </w:r>
          </w:p>
        </w:tc>
        <w:tc>
          <w:tcPr>
            <w:tcW w:w="3690" w:type="dxa"/>
          </w:tcPr>
          <w:p w:rsidR="00BA4A1C" w:rsidRPr="00A41A36" w:rsidRDefault="00BA4A1C" w:rsidP="00CA6BD3">
            <w:pPr>
              <w:spacing w:after="0" w:line="360" w:lineRule="auto"/>
              <w:rPr>
                <w:rFonts w:ascii="Arial" w:hAnsi="Arial" w:cs="Arial"/>
              </w:rPr>
            </w:pPr>
            <w:r w:rsidRPr="00A41A36">
              <w:rPr>
                <w:rFonts w:ascii="Arial" w:hAnsi="Arial" w:cs="Arial"/>
              </w:rPr>
              <w:t>12 medical doctors with varying specialities; 3 registered nurses; 1 pharmacologist, 1 psychologist; 1 bioethics; 1 health policy; 1 physician assistant</w:t>
            </w:r>
          </w:p>
        </w:tc>
        <w:tc>
          <w:tcPr>
            <w:tcW w:w="7380" w:type="dxa"/>
          </w:tcPr>
          <w:p w:rsidR="00BA4A1C" w:rsidRPr="008B0452" w:rsidRDefault="00BA4A1C" w:rsidP="00CA6BD3">
            <w:pPr>
              <w:spacing w:after="0" w:line="360" w:lineRule="auto"/>
              <w:rPr>
                <w:rFonts w:ascii="Arial" w:hAnsi="Arial" w:cs="Arial"/>
              </w:rPr>
            </w:pPr>
            <w:r w:rsidRPr="008B0452">
              <w:rPr>
                <w:rFonts w:ascii="Arial" w:hAnsi="Arial" w:cs="Arial"/>
              </w:rPr>
              <w:t xml:space="preserve">The intent of the guideline is to provide evidence based recommendations for the use of </w:t>
            </w:r>
            <w:r>
              <w:rPr>
                <w:rFonts w:ascii="Arial" w:hAnsi="Arial" w:cs="Arial"/>
              </w:rPr>
              <w:t>chronic opioid therapy</w:t>
            </w:r>
            <w:r w:rsidRPr="008B0452">
              <w:rPr>
                <w:rFonts w:ascii="Arial" w:hAnsi="Arial" w:cs="Arial"/>
              </w:rPr>
              <w:t xml:space="preserve"> for </w:t>
            </w:r>
            <w:r>
              <w:rPr>
                <w:rFonts w:ascii="Arial" w:hAnsi="Arial" w:cs="Arial"/>
              </w:rPr>
              <w:t>chronic non-cancer pain</w:t>
            </w:r>
            <w:r w:rsidRPr="008B0452">
              <w:rPr>
                <w:rFonts w:ascii="Arial" w:hAnsi="Arial" w:cs="Arial"/>
              </w:rPr>
              <w:t xml:space="preserve"> in both primary and speciality settings.  The target audience is clinicians who provide care for patient with </w:t>
            </w:r>
            <w:r>
              <w:rPr>
                <w:rFonts w:ascii="Arial" w:hAnsi="Arial" w:cs="Arial"/>
              </w:rPr>
              <w:t>chronic non-cancer pain</w:t>
            </w:r>
            <w:r w:rsidRPr="008B0452">
              <w:rPr>
                <w:rFonts w:ascii="Arial" w:hAnsi="Arial" w:cs="Arial"/>
              </w:rPr>
              <w:t xml:space="preserve"> including cancer survivors with chronic pain due to their cancer or its treatment.  Management of cancer pain, pain at the end of life, acute pain,  post-surgical pain, labour pain or </w:t>
            </w:r>
            <w:r>
              <w:rPr>
                <w:rFonts w:ascii="Arial" w:hAnsi="Arial" w:cs="Arial"/>
              </w:rPr>
              <w:t>chronic non-cancer pain</w:t>
            </w:r>
            <w:r w:rsidRPr="008B0452">
              <w:rPr>
                <w:rFonts w:ascii="Arial" w:hAnsi="Arial" w:cs="Arial"/>
              </w:rPr>
              <w:t xml:space="preserve"> in children or adolescents is outside the scope of this guideline</w:t>
            </w:r>
          </w:p>
        </w:tc>
      </w:tr>
      <w:tr w:rsidR="00BA4A1C" w:rsidRPr="008B0452" w:rsidTr="00E42EFA">
        <w:tc>
          <w:tcPr>
            <w:tcW w:w="1458" w:type="dxa"/>
          </w:tcPr>
          <w:p w:rsidR="00BA4A1C" w:rsidRPr="00D34FFC" w:rsidRDefault="00BA4A1C" w:rsidP="00CA6BD3">
            <w:pPr>
              <w:spacing w:after="0" w:line="360" w:lineRule="auto"/>
              <w:jc w:val="center"/>
              <w:rPr>
                <w:rFonts w:ascii="Arial" w:hAnsi="Arial" w:cs="Arial"/>
                <w:b/>
              </w:rPr>
            </w:pPr>
            <w:r w:rsidRPr="00D34FFC">
              <w:rPr>
                <w:rFonts w:ascii="Arial" w:hAnsi="Arial" w:cs="Arial"/>
                <w:b/>
              </w:rPr>
              <w:t>CPG 9</w:t>
            </w:r>
          </w:p>
          <w:p w:rsidR="00BA4A1C" w:rsidRPr="00D34FFC" w:rsidRDefault="00BA4A1C" w:rsidP="00CA6BD3">
            <w:pPr>
              <w:spacing w:after="0" w:line="360" w:lineRule="auto"/>
              <w:jc w:val="center"/>
              <w:rPr>
                <w:rFonts w:ascii="Arial" w:hAnsi="Arial" w:cs="Arial"/>
                <w:b/>
              </w:rPr>
            </w:pPr>
            <w:r w:rsidRPr="00D34FFC">
              <w:rPr>
                <w:rFonts w:ascii="Arial" w:hAnsi="Arial" w:cs="Arial"/>
                <w:b/>
              </w:rPr>
              <w:t>(Philadelphia Panel)</w:t>
            </w:r>
          </w:p>
        </w:tc>
        <w:tc>
          <w:tcPr>
            <w:tcW w:w="2070" w:type="dxa"/>
          </w:tcPr>
          <w:p w:rsidR="00BA4A1C" w:rsidRPr="008B0452" w:rsidRDefault="00BA4A1C" w:rsidP="00CA6BD3">
            <w:pPr>
              <w:spacing w:after="0" w:line="360" w:lineRule="auto"/>
              <w:rPr>
                <w:rFonts w:ascii="Arial" w:hAnsi="Arial" w:cs="Arial"/>
              </w:rPr>
            </w:pPr>
            <w:r w:rsidRPr="008B0452">
              <w:rPr>
                <w:rFonts w:ascii="Arial" w:hAnsi="Arial" w:cs="Arial"/>
              </w:rPr>
              <w:t xml:space="preserve">Clinical speciality experts = 10 </w:t>
            </w:r>
          </w:p>
          <w:p w:rsidR="00BA4A1C" w:rsidRPr="008B0452" w:rsidRDefault="00BA4A1C" w:rsidP="00CA6BD3">
            <w:pPr>
              <w:spacing w:after="0" w:line="360" w:lineRule="auto"/>
              <w:rPr>
                <w:rFonts w:ascii="Arial" w:hAnsi="Arial" w:cs="Arial"/>
              </w:rPr>
            </w:pPr>
          </w:p>
          <w:p w:rsidR="00BA4A1C" w:rsidRPr="008B0452" w:rsidRDefault="00BA4A1C" w:rsidP="00CA6BD3">
            <w:pPr>
              <w:spacing w:after="0" w:line="360" w:lineRule="auto"/>
              <w:rPr>
                <w:rFonts w:ascii="Arial" w:hAnsi="Arial" w:cs="Arial"/>
              </w:rPr>
            </w:pPr>
            <w:r w:rsidRPr="008B0452">
              <w:rPr>
                <w:rFonts w:ascii="Arial" w:hAnsi="Arial" w:cs="Arial"/>
              </w:rPr>
              <w:t>Ottowa methods group = 7</w:t>
            </w:r>
          </w:p>
          <w:p w:rsidR="00BA4A1C" w:rsidRPr="008B0452" w:rsidRDefault="00BA4A1C" w:rsidP="00CA6BD3">
            <w:pPr>
              <w:spacing w:after="0" w:line="360" w:lineRule="auto"/>
              <w:rPr>
                <w:rFonts w:ascii="Arial" w:hAnsi="Arial" w:cs="Arial"/>
              </w:rPr>
            </w:pPr>
          </w:p>
        </w:tc>
        <w:tc>
          <w:tcPr>
            <w:tcW w:w="3690" w:type="dxa"/>
          </w:tcPr>
          <w:p w:rsidR="00BA4A1C" w:rsidRPr="00A41A36" w:rsidRDefault="00BA4A1C" w:rsidP="00CA6BD3">
            <w:pPr>
              <w:spacing w:after="0" w:line="360" w:lineRule="auto"/>
              <w:rPr>
                <w:rFonts w:ascii="Arial" w:hAnsi="Arial" w:cs="Arial"/>
              </w:rPr>
            </w:pPr>
            <w:r w:rsidRPr="00A41A36">
              <w:rPr>
                <w:rFonts w:ascii="Arial" w:hAnsi="Arial" w:cs="Arial"/>
              </w:rPr>
              <w:t xml:space="preserve">8 medical doctors with varying specialities; 2 physiotherapist; </w:t>
            </w:r>
          </w:p>
          <w:p w:rsidR="00BA4A1C" w:rsidRPr="00A41A36" w:rsidRDefault="00BA4A1C" w:rsidP="00CA6BD3">
            <w:pPr>
              <w:spacing w:after="0" w:line="360" w:lineRule="auto"/>
              <w:rPr>
                <w:rFonts w:ascii="Arial" w:hAnsi="Arial" w:cs="Arial"/>
              </w:rPr>
            </w:pPr>
          </w:p>
          <w:p w:rsidR="00BA4A1C" w:rsidRPr="00A41A36" w:rsidRDefault="00BA4A1C" w:rsidP="00CA6BD3">
            <w:pPr>
              <w:spacing w:after="0" w:line="360" w:lineRule="auto"/>
              <w:rPr>
                <w:rFonts w:ascii="Arial" w:hAnsi="Arial" w:cs="Arial"/>
              </w:rPr>
            </w:pPr>
          </w:p>
          <w:p w:rsidR="00BA4A1C" w:rsidRPr="00A41A36" w:rsidRDefault="00BA4A1C" w:rsidP="00CA6BD3">
            <w:pPr>
              <w:spacing w:after="0" w:line="360" w:lineRule="auto"/>
              <w:rPr>
                <w:rFonts w:ascii="Arial" w:hAnsi="Arial" w:cs="Arial"/>
              </w:rPr>
            </w:pPr>
            <w:r w:rsidRPr="00A41A36">
              <w:rPr>
                <w:rFonts w:ascii="Arial" w:hAnsi="Arial" w:cs="Arial"/>
              </w:rPr>
              <w:t>1 physiotherapist; 1 nurse; 1 information scientist; 1 medical doctor; 3 epidemiologists</w:t>
            </w:r>
          </w:p>
          <w:p w:rsidR="00BA4A1C" w:rsidRPr="00A41A36" w:rsidRDefault="00BA4A1C" w:rsidP="00CA6BD3">
            <w:pPr>
              <w:spacing w:after="0" w:line="360" w:lineRule="auto"/>
              <w:rPr>
                <w:rFonts w:ascii="Arial" w:hAnsi="Arial" w:cs="Arial"/>
              </w:rPr>
            </w:pPr>
          </w:p>
        </w:tc>
        <w:tc>
          <w:tcPr>
            <w:tcW w:w="7380" w:type="dxa"/>
          </w:tcPr>
          <w:p w:rsidR="00BA4A1C" w:rsidRPr="008B0452" w:rsidRDefault="00BA4A1C" w:rsidP="00CA6BD3">
            <w:pPr>
              <w:spacing w:after="0" w:line="360" w:lineRule="auto"/>
              <w:rPr>
                <w:rFonts w:ascii="Arial" w:hAnsi="Arial" w:cs="Arial"/>
              </w:rPr>
            </w:pPr>
            <w:r w:rsidRPr="008B0452">
              <w:rPr>
                <w:rFonts w:ascii="Arial" w:hAnsi="Arial" w:cs="Arial"/>
              </w:rPr>
              <w:t>Purpose of the group was to create evidence-based practice guideli</w:t>
            </w:r>
            <w:r>
              <w:rPr>
                <w:rFonts w:ascii="Arial" w:hAnsi="Arial" w:cs="Arial"/>
              </w:rPr>
              <w:t xml:space="preserve">nes that identify the clinical </w:t>
            </w:r>
            <w:r w:rsidRPr="008B0452">
              <w:rPr>
                <w:rFonts w:ascii="Arial" w:hAnsi="Arial" w:cs="Arial"/>
              </w:rPr>
              <w:t>benefit of rehabilitation interventions for low back, knee, neck, and shoulder problems, the guidelines did not address medical or pharmacological management of these conditions. Although the guidelines primarily benefit the rehabilitation specialist (physical therapists, occupational therapists, and sports therapists), family practitioners and other primary care physicians are responsible for managing these conditions and their treatments. By knowing which rehabilitation interventions have proven clinical benefit, physicians can better coordinate a patient's care and make evidence-based decisions when ordering physical therapy.</w:t>
            </w:r>
          </w:p>
        </w:tc>
      </w:tr>
      <w:tr w:rsidR="00BA4A1C" w:rsidRPr="008B0452" w:rsidTr="00E42EFA">
        <w:tc>
          <w:tcPr>
            <w:tcW w:w="1458" w:type="dxa"/>
          </w:tcPr>
          <w:p w:rsidR="00BA4A1C" w:rsidRPr="00D34FFC" w:rsidRDefault="00BA4A1C" w:rsidP="00CA6BD3">
            <w:pPr>
              <w:spacing w:after="0" w:line="360" w:lineRule="auto"/>
              <w:jc w:val="center"/>
              <w:rPr>
                <w:rFonts w:ascii="Arial" w:hAnsi="Arial" w:cs="Arial"/>
                <w:b/>
              </w:rPr>
            </w:pPr>
            <w:r w:rsidRPr="00D34FFC">
              <w:rPr>
                <w:rFonts w:ascii="Arial" w:hAnsi="Arial" w:cs="Arial"/>
                <w:b/>
              </w:rPr>
              <w:t>CPG 10</w:t>
            </w:r>
          </w:p>
          <w:p w:rsidR="00BA4A1C" w:rsidRPr="00D34FFC" w:rsidRDefault="00BA4A1C" w:rsidP="00CA6BD3">
            <w:pPr>
              <w:spacing w:after="0" w:line="360" w:lineRule="auto"/>
              <w:jc w:val="center"/>
              <w:rPr>
                <w:rFonts w:ascii="Arial" w:hAnsi="Arial" w:cs="Arial"/>
                <w:b/>
              </w:rPr>
            </w:pPr>
            <w:r w:rsidRPr="00D34FFC">
              <w:rPr>
                <w:rFonts w:ascii="Arial" w:hAnsi="Arial" w:cs="Arial"/>
                <w:b/>
              </w:rPr>
              <w:t>(Raff)</w:t>
            </w:r>
          </w:p>
        </w:tc>
        <w:tc>
          <w:tcPr>
            <w:tcW w:w="2070" w:type="dxa"/>
          </w:tcPr>
          <w:p w:rsidR="00BA4A1C" w:rsidRPr="008B0452" w:rsidRDefault="00BA4A1C" w:rsidP="00CA6BD3">
            <w:pPr>
              <w:spacing w:after="0" w:line="360" w:lineRule="auto"/>
              <w:rPr>
                <w:rFonts w:ascii="Arial" w:hAnsi="Arial" w:cs="Arial"/>
              </w:rPr>
            </w:pPr>
            <w:r w:rsidRPr="008B0452">
              <w:rPr>
                <w:rFonts w:ascii="Arial" w:hAnsi="Arial" w:cs="Arial"/>
              </w:rPr>
              <w:t>6</w:t>
            </w:r>
          </w:p>
        </w:tc>
        <w:tc>
          <w:tcPr>
            <w:tcW w:w="3690" w:type="dxa"/>
          </w:tcPr>
          <w:p w:rsidR="00BA4A1C" w:rsidRPr="00A41A36" w:rsidRDefault="00BA4A1C" w:rsidP="00CA6BD3">
            <w:pPr>
              <w:spacing w:after="0" w:line="360" w:lineRule="auto"/>
              <w:rPr>
                <w:rFonts w:ascii="Arial" w:hAnsi="Arial" w:cs="Arial"/>
              </w:rPr>
            </w:pPr>
            <w:r w:rsidRPr="00A41A36">
              <w:rPr>
                <w:rFonts w:ascii="Arial" w:hAnsi="Arial" w:cs="Arial"/>
              </w:rPr>
              <w:t>Medical doctors with varying specialities</w:t>
            </w:r>
          </w:p>
        </w:tc>
        <w:tc>
          <w:tcPr>
            <w:tcW w:w="7380" w:type="dxa"/>
          </w:tcPr>
          <w:p w:rsidR="00BA4A1C" w:rsidRPr="008B0452" w:rsidRDefault="00BA4A1C" w:rsidP="00CA6BD3">
            <w:pPr>
              <w:spacing w:after="0" w:line="360" w:lineRule="auto"/>
              <w:rPr>
                <w:rFonts w:ascii="Arial" w:hAnsi="Arial" w:cs="Arial"/>
              </w:rPr>
            </w:pPr>
            <w:r w:rsidRPr="008B0452">
              <w:rPr>
                <w:rFonts w:ascii="Arial" w:hAnsi="Arial" w:cs="Arial"/>
              </w:rPr>
              <w:t xml:space="preserve">To provide a brief and practical guideline for the use of chronic opioid therapy in patients with </w:t>
            </w:r>
            <w:r>
              <w:rPr>
                <w:rFonts w:ascii="Arial" w:hAnsi="Arial" w:cs="Arial"/>
              </w:rPr>
              <w:t>chronic non-cancer pain</w:t>
            </w:r>
            <w:r w:rsidRPr="008B0452">
              <w:rPr>
                <w:rFonts w:ascii="Arial" w:hAnsi="Arial" w:cs="Arial"/>
              </w:rPr>
              <w:t xml:space="preserve">. The target audience is all clinicians in primary and specialty settings who provide care for adults suffering from </w:t>
            </w:r>
            <w:r>
              <w:rPr>
                <w:rFonts w:ascii="Arial" w:hAnsi="Arial" w:cs="Arial"/>
              </w:rPr>
              <w:t>chronic non-cancer pain</w:t>
            </w:r>
            <w:r w:rsidRPr="008B0452">
              <w:rPr>
                <w:rFonts w:ascii="Arial" w:hAnsi="Arial" w:cs="Arial"/>
              </w:rPr>
              <w:t xml:space="preserve">. The management of acute pain, postsurgical pain, labour pain, cancer pain, pain at the end of life, and </w:t>
            </w:r>
            <w:r>
              <w:rPr>
                <w:rFonts w:ascii="Arial" w:hAnsi="Arial" w:cs="Arial"/>
              </w:rPr>
              <w:t>chronic non-cancer pain</w:t>
            </w:r>
            <w:r w:rsidRPr="008B0452">
              <w:rPr>
                <w:rFonts w:ascii="Arial" w:hAnsi="Arial" w:cs="Arial"/>
              </w:rPr>
              <w:t xml:space="preserve"> in children is not addressed in this guideline.</w:t>
            </w:r>
          </w:p>
        </w:tc>
      </w:tr>
      <w:tr w:rsidR="00BA4A1C" w:rsidRPr="008B0452" w:rsidTr="00E42EFA">
        <w:tc>
          <w:tcPr>
            <w:tcW w:w="1458" w:type="dxa"/>
          </w:tcPr>
          <w:p w:rsidR="00BA4A1C" w:rsidRPr="00D34FFC" w:rsidRDefault="00BA4A1C" w:rsidP="00CA6BD3">
            <w:pPr>
              <w:spacing w:after="0" w:line="360" w:lineRule="auto"/>
              <w:jc w:val="center"/>
              <w:rPr>
                <w:rFonts w:ascii="Arial" w:hAnsi="Arial" w:cs="Arial"/>
                <w:b/>
              </w:rPr>
            </w:pPr>
            <w:r w:rsidRPr="00D34FFC">
              <w:rPr>
                <w:rFonts w:ascii="Arial" w:hAnsi="Arial" w:cs="Arial"/>
                <w:b/>
              </w:rPr>
              <w:t>CPG 11</w:t>
            </w:r>
          </w:p>
          <w:p w:rsidR="00BA4A1C" w:rsidRPr="00D34FFC" w:rsidRDefault="00BA4A1C" w:rsidP="00CA6BD3">
            <w:pPr>
              <w:spacing w:after="0" w:line="360" w:lineRule="auto"/>
              <w:jc w:val="center"/>
              <w:rPr>
                <w:rFonts w:ascii="Arial" w:hAnsi="Arial" w:cs="Arial"/>
                <w:b/>
              </w:rPr>
            </w:pPr>
            <w:r w:rsidRPr="00D34FFC">
              <w:rPr>
                <w:rFonts w:ascii="Arial" w:hAnsi="Arial" w:cs="Arial"/>
                <w:b/>
              </w:rPr>
              <w:lastRenderedPageBreak/>
              <w:t>(Saunders et al )</w:t>
            </w:r>
          </w:p>
        </w:tc>
        <w:tc>
          <w:tcPr>
            <w:tcW w:w="2070" w:type="dxa"/>
          </w:tcPr>
          <w:p w:rsidR="00BA4A1C" w:rsidRPr="008B0452" w:rsidRDefault="00BA4A1C" w:rsidP="00CA6BD3">
            <w:pPr>
              <w:spacing w:after="0" w:line="360" w:lineRule="auto"/>
              <w:rPr>
                <w:rFonts w:ascii="Arial" w:hAnsi="Arial" w:cs="Arial"/>
              </w:rPr>
            </w:pPr>
            <w:r w:rsidRPr="008B0452">
              <w:rPr>
                <w:rFonts w:ascii="Arial" w:hAnsi="Arial" w:cs="Arial"/>
              </w:rPr>
              <w:lastRenderedPageBreak/>
              <w:t>3</w:t>
            </w:r>
          </w:p>
        </w:tc>
        <w:tc>
          <w:tcPr>
            <w:tcW w:w="3690" w:type="dxa"/>
          </w:tcPr>
          <w:p w:rsidR="00BA4A1C" w:rsidRPr="00A41A36" w:rsidRDefault="00BA4A1C" w:rsidP="00CA6BD3">
            <w:pPr>
              <w:spacing w:after="0" w:line="360" w:lineRule="auto"/>
              <w:rPr>
                <w:rFonts w:ascii="Arial" w:hAnsi="Arial" w:cs="Arial"/>
              </w:rPr>
            </w:pPr>
            <w:r w:rsidRPr="00A41A36">
              <w:rPr>
                <w:rFonts w:ascii="Arial" w:hAnsi="Arial" w:cs="Arial"/>
              </w:rPr>
              <w:t>1 medical doctor; 2 unclear</w:t>
            </w:r>
          </w:p>
        </w:tc>
        <w:tc>
          <w:tcPr>
            <w:tcW w:w="7380" w:type="dxa"/>
          </w:tcPr>
          <w:p w:rsidR="00BA4A1C" w:rsidRPr="008B0452" w:rsidRDefault="00BA4A1C" w:rsidP="00CA6BD3">
            <w:pPr>
              <w:spacing w:after="0" w:line="360" w:lineRule="auto"/>
              <w:rPr>
                <w:rFonts w:ascii="Arial" w:hAnsi="Arial" w:cs="Arial"/>
              </w:rPr>
            </w:pPr>
            <w:r>
              <w:rPr>
                <w:rFonts w:ascii="Arial" w:hAnsi="Arial" w:cs="Arial"/>
              </w:rPr>
              <w:t>T</w:t>
            </w:r>
            <w:r w:rsidRPr="008B0452">
              <w:rPr>
                <w:rFonts w:ascii="Arial" w:hAnsi="Arial" w:cs="Arial"/>
              </w:rPr>
              <w:t xml:space="preserve">he need for appropriate evidence-based practice guidelines to effectively treat </w:t>
            </w:r>
            <w:r w:rsidRPr="008B0452">
              <w:rPr>
                <w:rFonts w:ascii="Arial" w:hAnsi="Arial" w:cs="Arial"/>
              </w:rPr>
              <w:lastRenderedPageBreak/>
              <w:t>this most impaired and dysfunctional segment of chronic pain patients continues to be high. This article offers a second evidence-based update to treatment guidelines for chronic non-malignant pain syndrome patients</w:t>
            </w:r>
            <w:r>
              <w:rPr>
                <w:rFonts w:ascii="Arial" w:hAnsi="Arial" w:cs="Arial"/>
              </w:rPr>
              <w:t>.</w:t>
            </w:r>
          </w:p>
        </w:tc>
      </w:tr>
      <w:tr w:rsidR="00BA4A1C" w:rsidRPr="008B0452" w:rsidTr="00E42EFA">
        <w:tc>
          <w:tcPr>
            <w:tcW w:w="1458" w:type="dxa"/>
          </w:tcPr>
          <w:p w:rsidR="00BA4A1C" w:rsidRPr="00D34FFC" w:rsidRDefault="00BA4A1C" w:rsidP="00CA6BD3">
            <w:pPr>
              <w:spacing w:after="0" w:line="360" w:lineRule="auto"/>
              <w:jc w:val="center"/>
              <w:rPr>
                <w:rFonts w:ascii="Arial" w:hAnsi="Arial" w:cs="Arial"/>
                <w:b/>
              </w:rPr>
            </w:pPr>
            <w:r w:rsidRPr="00D34FFC">
              <w:rPr>
                <w:rFonts w:ascii="Arial" w:hAnsi="Arial" w:cs="Arial"/>
                <w:b/>
              </w:rPr>
              <w:lastRenderedPageBreak/>
              <w:t>CPG 12</w:t>
            </w:r>
          </w:p>
          <w:p w:rsidR="00BA4A1C" w:rsidRPr="00D34FFC" w:rsidRDefault="00BA4A1C" w:rsidP="00CA6BD3">
            <w:pPr>
              <w:spacing w:after="0" w:line="360" w:lineRule="auto"/>
              <w:jc w:val="center"/>
              <w:rPr>
                <w:rFonts w:ascii="Arial" w:hAnsi="Arial" w:cs="Arial"/>
                <w:b/>
              </w:rPr>
            </w:pPr>
            <w:r w:rsidRPr="00D34FFC">
              <w:rPr>
                <w:rFonts w:ascii="Arial" w:hAnsi="Arial" w:cs="Arial"/>
                <w:b/>
              </w:rPr>
              <w:t>(Schnitzer)</w:t>
            </w:r>
          </w:p>
        </w:tc>
        <w:tc>
          <w:tcPr>
            <w:tcW w:w="2070" w:type="dxa"/>
          </w:tcPr>
          <w:p w:rsidR="00BA4A1C" w:rsidRPr="008B0452" w:rsidRDefault="00BA4A1C" w:rsidP="00CA6BD3">
            <w:pPr>
              <w:spacing w:after="0" w:line="360" w:lineRule="auto"/>
              <w:rPr>
                <w:rFonts w:ascii="Arial" w:hAnsi="Arial" w:cs="Arial"/>
              </w:rPr>
            </w:pPr>
            <w:r w:rsidRPr="008B0452">
              <w:rPr>
                <w:rFonts w:ascii="Arial" w:hAnsi="Arial" w:cs="Arial"/>
              </w:rPr>
              <w:t>1</w:t>
            </w:r>
          </w:p>
        </w:tc>
        <w:tc>
          <w:tcPr>
            <w:tcW w:w="3690" w:type="dxa"/>
          </w:tcPr>
          <w:p w:rsidR="00BA4A1C" w:rsidRPr="00A41A36" w:rsidRDefault="00BA4A1C" w:rsidP="00CA6BD3">
            <w:pPr>
              <w:spacing w:after="0" w:line="360" w:lineRule="auto"/>
              <w:rPr>
                <w:rFonts w:ascii="Arial" w:hAnsi="Arial" w:cs="Arial"/>
              </w:rPr>
            </w:pPr>
            <w:r w:rsidRPr="00A41A36">
              <w:rPr>
                <w:rFonts w:ascii="Arial" w:hAnsi="Arial" w:cs="Arial"/>
              </w:rPr>
              <w:t>Medical doctor</w:t>
            </w:r>
          </w:p>
        </w:tc>
        <w:tc>
          <w:tcPr>
            <w:tcW w:w="7380" w:type="dxa"/>
          </w:tcPr>
          <w:p w:rsidR="00BA4A1C" w:rsidRPr="008B0452" w:rsidRDefault="00BA4A1C" w:rsidP="00CA6BD3">
            <w:pPr>
              <w:spacing w:after="0" w:line="360" w:lineRule="auto"/>
              <w:rPr>
                <w:rFonts w:ascii="Arial" w:hAnsi="Arial" w:cs="Arial"/>
              </w:rPr>
            </w:pPr>
            <w:r w:rsidRPr="008B0452">
              <w:rPr>
                <w:rFonts w:ascii="Arial" w:hAnsi="Arial" w:cs="Arial"/>
              </w:rPr>
              <w:t>This paper reviews the evolution of pain management guidelines in response to the availability of COX-2selective anti-inflammatory drugs, before introducing updated guidance from the Working Group on Pain Management, which has been collated in response to recent developments concerning COX-2 inhibitors and other NSAIDs</w:t>
            </w:r>
            <w:r>
              <w:rPr>
                <w:rFonts w:ascii="Arial" w:hAnsi="Arial" w:cs="Arial"/>
              </w:rPr>
              <w:t>.</w:t>
            </w:r>
          </w:p>
        </w:tc>
      </w:tr>
    </w:tbl>
    <w:p w:rsidR="00BA4A1C" w:rsidRPr="008B0452" w:rsidRDefault="00BA4A1C" w:rsidP="00BA4A1C"/>
    <w:p w:rsidR="00BA4A1C" w:rsidRPr="00354008" w:rsidRDefault="00BA4A1C" w:rsidP="00BA4A1C">
      <w:pPr>
        <w:pStyle w:val="Header"/>
        <w:keepNext/>
        <w:rPr>
          <w:rFonts w:ascii="Arial" w:hAnsi="Arial" w:cs="Arial"/>
          <w:b/>
          <w:sz w:val="28"/>
          <w:szCs w:val="28"/>
          <w:lang w:val="en-GB"/>
        </w:rPr>
      </w:pPr>
    </w:p>
    <w:p w:rsidR="00112853" w:rsidRDefault="00112853"/>
    <w:sectPr w:rsidR="00112853" w:rsidSect="0097474D">
      <w:footerReference w:type="default" r:id="rId7"/>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513" w:rsidRDefault="00814513">
      <w:pPr>
        <w:spacing w:after="0" w:line="240" w:lineRule="auto"/>
      </w:pPr>
      <w:r>
        <w:separator/>
      </w:r>
    </w:p>
  </w:endnote>
  <w:endnote w:type="continuationSeparator" w:id="0">
    <w:p w:rsidR="00814513" w:rsidRDefault="0081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623580"/>
      <w:docPartObj>
        <w:docPartGallery w:val="Page Numbers (Bottom of Page)"/>
        <w:docPartUnique/>
      </w:docPartObj>
    </w:sdtPr>
    <w:sdtEndPr>
      <w:rPr>
        <w:noProof/>
      </w:rPr>
    </w:sdtEndPr>
    <w:sdtContent>
      <w:p w:rsidR="00BE7D2A" w:rsidRDefault="00BA4A1C">
        <w:pPr>
          <w:jc w:val="right"/>
        </w:pPr>
        <w:r>
          <w:fldChar w:fldCharType="begin"/>
        </w:r>
        <w:r>
          <w:instrText xml:space="preserve"> PAGE   \* MERGEFORMAT </w:instrText>
        </w:r>
        <w:r>
          <w:fldChar w:fldCharType="separate"/>
        </w:r>
        <w:r w:rsidR="00E42EFA">
          <w:rPr>
            <w:noProof/>
          </w:rPr>
          <w:t>1</w:t>
        </w:r>
        <w:r>
          <w:rPr>
            <w:noProof/>
          </w:rPr>
          <w:fldChar w:fldCharType="end"/>
        </w:r>
      </w:p>
    </w:sdtContent>
  </w:sdt>
  <w:p w:rsidR="00BE7D2A" w:rsidRDefault="00814513"/>
  <w:p w:rsidR="00BE7D2A" w:rsidRDefault="008145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513" w:rsidRDefault="00814513">
      <w:pPr>
        <w:spacing w:after="0" w:line="240" w:lineRule="auto"/>
      </w:pPr>
      <w:r>
        <w:separator/>
      </w:r>
    </w:p>
  </w:footnote>
  <w:footnote w:type="continuationSeparator" w:id="0">
    <w:p w:rsidR="00814513" w:rsidRDefault="00814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C8"/>
    <w:rsid w:val="00112853"/>
    <w:rsid w:val="00814513"/>
    <w:rsid w:val="00BA4A1C"/>
    <w:rsid w:val="00E42EFA"/>
    <w:rsid w:val="00F6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1C"/>
    <w:rPr>
      <w:rFonts w:ascii="Times New Roman" w:hAnsi="Times New Roman" w:cs="Times New Roman"/>
      <w:sz w:val="20"/>
      <w:szCs w:val="20"/>
      <w:lang w:val="en-ZA"/>
    </w:rPr>
  </w:style>
  <w:style w:type="paragraph" w:styleId="Heading3">
    <w:name w:val="heading 3"/>
    <w:basedOn w:val="Normal"/>
    <w:next w:val="Normal"/>
    <w:link w:val="Heading3Char"/>
    <w:uiPriority w:val="9"/>
    <w:unhideWhenUsed/>
    <w:qFormat/>
    <w:rsid w:val="00BA4A1C"/>
    <w:pPr>
      <w:keepNext/>
      <w:keepLines/>
      <w:spacing w:after="120" w:line="360" w:lineRule="auto"/>
      <w:jc w:val="both"/>
      <w:outlineLvl w:val="2"/>
    </w:pPr>
    <w:rPr>
      <w:rFonts w:ascii="Arial" w:eastAsiaTheme="majorEastAsia" w:hAnsi="Arial" w:cs="Arial"/>
      <w:b/>
      <w:bCs/>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A1C"/>
    <w:rPr>
      <w:rFonts w:ascii="Arial" w:eastAsiaTheme="majorEastAsia" w:hAnsi="Arial" w:cs="Arial"/>
      <w:b/>
      <w:bCs/>
      <w:color w:val="000000" w:themeColor="text1"/>
      <w:sz w:val="24"/>
      <w:szCs w:val="24"/>
      <w:lang w:val="en-GB"/>
    </w:rPr>
  </w:style>
  <w:style w:type="paragraph" w:styleId="Header">
    <w:name w:val="header"/>
    <w:basedOn w:val="Normal"/>
    <w:link w:val="HeaderChar"/>
    <w:uiPriority w:val="99"/>
    <w:unhideWhenUsed/>
    <w:rsid w:val="00BA4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A1C"/>
    <w:rPr>
      <w:rFonts w:ascii="Times New Roman" w:hAnsi="Times New Roman" w:cs="Times New Roman"/>
      <w:sz w:val="20"/>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1C"/>
    <w:rPr>
      <w:rFonts w:ascii="Times New Roman" w:hAnsi="Times New Roman" w:cs="Times New Roman"/>
      <w:sz w:val="20"/>
      <w:szCs w:val="20"/>
      <w:lang w:val="en-ZA"/>
    </w:rPr>
  </w:style>
  <w:style w:type="paragraph" w:styleId="Heading3">
    <w:name w:val="heading 3"/>
    <w:basedOn w:val="Normal"/>
    <w:next w:val="Normal"/>
    <w:link w:val="Heading3Char"/>
    <w:uiPriority w:val="9"/>
    <w:unhideWhenUsed/>
    <w:qFormat/>
    <w:rsid w:val="00BA4A1C"/>
    <w:pPr>
      <w:keepNext/>
      <w:keepLines/>
      <w:spacing w:after="120" w:line="360" w:lineRule="auto"/>
      <w:jc w:val="both"/>
      <w:outlineLvl w:val="2"/>
    </w:pPr>
    <w:rPr>
      <w:rFonts w:ascii="Arial" w:eastAsiaTheme="majorEastAsia" w:hAnsi="Arial" w:cs="Arial"/>
      <w:b/>
      <w:bCs/>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A1C"/>
    <w:rPr>
      <w:rFonts w:ascii="Arial" w:eastAsiaTheme="majorEastAsia" w:hAnsi="Arial" w:cs="Arial"/>
      <w:b/>
      <w:bCs/>
      <w:color w:val="000000" w:themeColor="text1"/>
      <w:sz w:val="24"/>
      <w:szCs w:val="24"/>
      <w:lang w:val="en-GB"/>
    </w:rPr>
  </w:style>
  <w:style w:type="paragraph" w:styleId="Header">
    <w:name w:val="header"/>
    <w:basedOn w:val="Normal"/>
    <w:link w:val="HeaderChar"/>
    <w:uiPriority w:val="99"/>
    <w:unhideWhenUsed/>
    <w:rsid w:val="00BA4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A1C"/>
    <w:rPr>
      <w:rFonts w:ascii="Times New Roman" w:hAnsi="Times New Roman" w:cs="Times New Roman"/>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i5</dc:creator>
  <cp:keywords/>
  <dc:description/>
  <cp:lastModifiedBy>acer i5</cp:lastModifiedBy>
  <cp:revision>3</cp:revision>
  <dcterms:created xsi:type="dcterms:W3CDTF">2016-10-31T15:07:00Z</dcterms:created>
  <dcterms:modified xsi:type="dcterms:W3CDTF">2016-10-31T19:12:00Z</dcterms:modified>
</cp:coreProperties>
</file>