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53" w:rsidRPr="008832D7" w:rsidRDefault="00A028FE" w:rsidP="007053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file 5: </w:t>
      </w:r>
      <w:r w:rsidR="00705353">
        <w:rPr>
          <w:rFonts w:ascii="Times New Roman" w:hAnsi="Times New Roman" w:cs="Times New Roman"/>
          <w:b/>
          <w:bCs/>
          <w:sz w:val="24"/>
          <w:szCs w:val="24"/>
        </w:rPr>
        <w:t xml:space="preserve">Excerpts from the quantitative review of evidence for intervention components used for hypertension self-management   </w:t>
      </w:r>
    </w:p>
    <w:tbl>
      <w:tblPr>
        <w:tblStyle w:val="TableGrid"/>
        <w:tblW w:w="14601" w:type="dxa"/>
        <w:tblInd w:w="-147" w:type="dxa"/>
        <w:tblLayout w:type="fixed"/>
        <w:tblLook w:val="04A0"/>
      </w:tblPr>
      <w:tblGrid>
        <w:gridCol w:w="1418"/>
        <w:gridCol w:w="1559"/>
        <w:gridCol w:w="1984"/>
        <w:gridCol w:w="1560"/>
        <w:gridCol w:w="1559"/>
        <w:gridCol w:w="1418"/>
        <w:gridCol w:w="1559"/>
        <w:gridCol w:w="1819"/>
        <w:gridCol w:w="1725"/>
      </w:tblGrid>
      <w:tr w:rsidR="00705353" w:rsidRPr="00454621" w:rsidTr="00F2522E">
        <w:tc>
          <w:tcPr>
            <w:tcW w:w="1418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Study </w:t>
            </w:r>
          </w:p>
        </w:tc>
        <w:tc>
          <w:tcPr>
            <w:tcW w:w="1559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Self-monitoring schedules </w:t>
            </w:r>
          </w:p>
        </w:tc>
        <w:tc>
          <w:tcPr>
            <w:tcW w:w="1984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Methods of BP feedback </w:t>
            </w:r>
          </w:p>
        </w:tc>
        <w:tc>
          <w:tcPr>
            <w:tcW w:w="1560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Titration procedures </w:t>
            </w:r>
          </w:p>
        </w:tc>
        <w:tc>
          <w:tcPr>
            <w:tcW w:w="1559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Type/ level of behavioural support</w:t>
            </w:r>
          </w:p>
        </w:tc>
        <w:tc>
          <w:tcPr>
            <w:tcW w:w="1418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Length of intervention and follow-up</w:t>
            </w:r>
          </w:p>
        </w:tc>
        <w:tc>
          <w:tcPr>
            <w:tcW w:w="1559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Control group</w:t>
            </w:r>
          </w:p>
        </w:tc>
        <w:tc>
          <w:tcPr>
            <w:tcW w:w="1819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Reductions in blood pressure (SBP/ DBP)</w:t>
            </w:r>
          </w:p>
        </w:tc>
        <w:tc>
          <w:tcPr>
            <w:tcW w:w="1725" w:type="dxa"/>
          </w:tcPr>
          <w:p w:rsidR="00705353" w:rsidRPr="008832D7" w:rsidRDefault="00705353" w:rsidP="00F2522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832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Additional findings </w:t>
            </w:r>
          </w:p>
        </w:tc>
      </w:tr>
      <w:tr w:rsidR="00705353" w:rsidRPr="00454621" w:rsidTr="00F2522E"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eastAsia="SimSun" w:hAnsi="Times New Roman" w:cs="Times New Roman"/>
              </w:rPr>
              <w:t xml:space="preserve">McManus et al (2010) - </w:t>
            </w:r>
            <w:r w:rsidRPr="00D90236">
              <w:rPr>
                <w:rFonts w:ascii="Times New Roman" w:hAnsi="Times New Roman" w:cs="Times New Roman"/>
              </w:rPr>
              <w:t xml:space="preserve">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eastAsia="SimSun" w:hAnsi="Times New Roman" w:cs="Times New Roman"/>
              </w:rPr>
              <w:t xml:space="preserve">TASMINH-2: </w:t>
            </w:r>
            <w:r w:rsidRPr="00D90236">
              <w:rPr>
                <w:rFonts w:ascii="Times New Roman" w:hAnsi="Times New Roman" w:cs="Times New Roman"/>
              </w:rPr>
              <w:t>Tele-monitoring and self-management of hypertension (self-monitoring and self-titration of anti-hypertensive drugs according to a pre-planned titration schedule).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Training:</w:t>
            </w:r>
            <w:r w:rsidRPr="00D90236">
              <w:rPr>
                <w:rFonts w:ascii="Times New Roman" w:hAnsi="Times New Roman" w:cs="Times New Roman"/>
              </w:rPr>
              <w:t xml:space="preserve"> patients received 2 training sessions from the research team where they were taught to self-monitor.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BP monitoring:</w:t>
            </w:r>
            <w:r w:rsidRPr="00D90236">
              <w:rPr>
                <w:rFonts w:ascii="Times New Roman" w:hAnsi="Times New Roman" w:cs="Times New Roman"/>
              </w:rPr>
              <w:t xml:space="preserve"> BP readings were taken for the first week (7 days) each month.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Two recordings were made each morning with 5 minute intervals and the second recorded.  </w:t>
            </w:r>
          </w:p>
        </w:tc>
        <w:tc>
          <w:tcPr>
            <w:tcW w:w="1984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Blood pressure targets were set at &lt;130/85 mmHg (or ≤130/75mmHg for patients with diabetes or CKD 3-5).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Colour coded feedback system: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 xml:space="preserve">Red </w:t>
            </w:r>
            <w:r w:rsidRPr="00D90236">
              <w:rPr>
                <w:rFonts w:ascii="Times New Roman" w:hAnsi="Times New Roman" w:cs="Times New Roman"/>
              </w:rPr>
              <w:t>– outside safety limits (&gt; 200/100mmHg or systolic pressure &lt;100mmHg)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Amber</w:t>
            </w:r>
            <w:r w:rsidRPr="00D90236">
              <w:rPr>
                <w:rFonts w:ascii="Times New Roman" w:hAnsi="Times New Roman" w:cs="Times New Roman"/>
              </w:rPr>
              <w:t xml:space="preserve"> – above target but below safety limit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Green</w:t>
            </w:r>
            <w:r w:rsidRPr="00D90236">
              <w:rPr>
                <w:rFonts w:ascii="Times New Roman" w:hAnsi="Times New Roman" w:cs="Times New Roman"/>
              </w:rPr>
              <w:t xml:space="preserve"> – below target but above </w:t>
            </w:r>
            <w:r>
              <w:rPr>
                <w:rFonts w:ascii="Times New Roman" w:hAnsi="Times New Roman" w:cs="Times New Roman"/>
              </w:rPr>
              <w:t xml:space="preserve">lower </w:t>
            </w:r>
            <w:r w:rsidRPr="00D90236">
              <w:rPr>
                <w:rFonts w:ascii="Times New Roman" w:hAnsi="Times New Roman" w:cs="Times New Roman"/>
              </w:rPr>
              <w:t>safety limit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Red readings required the participant to contact his/her practice.</w:t>
            </w:r>
          </w:p>
        </w:tc>
        <w:tc>
          <w:tcPr>
            <w:tcW w:w="1560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Two medication changes were agreed between patient and GP at the review meeting. Four </w:t>
            </w:r>
            <w:r>
              <w:rPr>
                <w:rFonts w:ascii="Times New Roman" w:hAnsi="Times New Roman" w:cs="Times New Roman"/>
              </w:rPr>
              <w:t xml:space="preserve">or more </w:t>
            </w:r>
            <w:r w:rsidRPr="00D90236">
              <w:rPr>
                <w:rFonts w:ascii="Times New Roman" w:hAnsi="Times New Roman" w:cs="Times New Roman"/>
              </w:rPr>
              <w:t xml:space="preserve">‘amber’ (above target) BP readings for two consecutive months resulted in the patient having to request the new prescription without consultation.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After two medication changes the patient had to attend a second medication </w:t>
            </w:r>
            <w:r w:rsidRPr="00D90236">
              <w:rPr>
                <w:rFonts w:ascii="Times New Roman" w:hAnsi="Times New Roman" w:cs="Times New Roman"/>
              </w:rPr>
              <w:lastRenderedPageBreak/>
              <w:t xml:space="preserve">review with the GP. 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>n/a</w:t>
            </w:r>
          </w:p>
        </w:tc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12 months (follow-up at 6 and 12 months)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Post-randomisation review with the GP followed by </w:t>
            </w:r>
            <w:r w:rsidRPr="00D90236">
              <w:rPr>
                <w:rFonts w:ascii="Times New Roman" w:hAnsi="Times New Roman" w:cs="Times New Roman"/>
                <w:u w:val="single"/>
              </w:rPr>
              <w:t>usual care</w:t>
            </w:r>
            <w:r w:rsidRPr="00D9023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Mean of 2</w:t>
            </w:r>
            <w:r w:rsidRPr="00D9023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90236">
              <w:rPr>
                <w:rFonts w:ascii="Times New Roman" w:hAnsi="Times New Roman" w:cs="Times New Roman"/>
              </w:rPr>
              <w:t xml:space="preserve"> and 3</w:t>
            </w:r>
            <w:r w:rsidRPr="00D90236">
              <w:rPr>
                <w:rFonts w:ascii="Times New Roman" w:hAnsi="Times New Roman" w:cs="Times New Roman"/>
                <w:vertAlign w:val="superscript"/>
              </w:rPr>
              <w:t>rd</w:t>
            </w:r>
            <w:r w:rsidRPr="00D90236">
              <w:rPr>
                <w:rFonts w:ascii="Times New Roman" w:hAnsi="Times New Roman" w:cs="Times New Roman"/>
              </w:rPr>
              <w:t xml:space="preserve"> clinic BP readings used as the primary outcome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3.7mmHg SBP reduction at 6 months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5.4mmHg SBP reduction at 12 months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No sig reduction in systolic BP over time between groups, nor anxiety or quality of life.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Incomplete cases at follow up were likelier to have higher deprivation scores, and a greater reduction in BP was observed for patients in lower deprivation scores.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Leg swelling was more common in intervention group (side effects)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The intervention was more effective by 0.24 and 0.12 quality adjusted life years (QALYs) gained per patient for men and women, respectively. The resultant </w:t>
            </w:r>
            <w:r w:rsidRPr="00D90236">
              <w:rPr>
                <w:rFonts w:ascii="Times New Roman" w:hAnsi="Times New Roman" w:cs="Times New Roman"/>
              </w:rPr>
              <w:lastRenderedPageBreak/>
              <w:t>incremental cost-effectiveness ratio for self-management was £1624 per QALY for men and £4923 per QALY for women.</w:t>
            </w:r>
          </w:p>
        </w:tc>
      </w:tr>
      <w:tr w:rsidR="00705353" w:rsidRPr="00735FAA" w:rsidTr="00F2522E"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 xml:space="preserve">Bosworth et al (2009) - Compared UC for hypertension with 3 groups: 1. Behavioural self-management, 2. Home monitoring and 3. Combination of the two (in this group the behavioural intervention was not adjusted according to BP readings). 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Training:</w:t>
            </w:r>
            <w:r w:rsidRPr="00D90236">
              <w:rPr>
                <w:rFonts w:ascii="Times New Roman" w:hAnsi="Times New Roman" w:cs="Times New Roman"/>
              </w:rPr>
              <w:t xml:space="preserve"> patients received BP monitor training from research assistants (and again at 6months if needed).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BP monitoring:</w:t>
            </w:r>
            <w:r w:rsidRPr="00D90236">
              <w:rPr>
                <w:rFonts w:ascii="Times New Roman" w:hAnsi="Times New Roman" w:cs="Times New Roman"/>
              </w:rPr>
              <w:t xml:space="preserve"> BP readings were taken for 3 days per week (taken at the same time) and recorded in a log (returned to the study team every 2 months).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1560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n/a 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Behavioural self-management </w:t>
            </w:r>
            <w:r>
              <w:rPr>
                <w:rFonts w:ascii="Times New Roman" w:hAnsi="Times New Roman" w:cs="Times New Roman"/>
              </w:rPr>
              <w:t xml:space="preserve">support </w:t>
            </w:r>
            <w:r w:rsidRPr="00D90236">
              <w:rPr>
                <w:rFonts w:ascii="Times New Roman" w:hAnsi="Times New Roman" w:cs="Times New Roman"/>
              </w:rPr>
              <w:t xml:space="preserve">was provided bi-weekly by a nurse (over the telephone), with each session covering different modules including perceived risk for hypertension, side-effects of anti-hypertensive medication, social support and lifestyle factors including </w:t>
            </w:r>
            <w:r w:rsidRPr="00D90236">
              <w:rPr>
                <w:rFonts w:ascii="Times New Roman" w:hAnsi="Times New Roman" w:cs="Times New Roman"/>
              </w:rPr>
              <w:lastRenderedPageBreak/>
              <w:t xml:space="preserve">DASH diet, weight loss, physical activity, salt and alcohol reduction. </w:t>
            </w:r>
          </w:p>
        </w:tc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>24 months (follow-up at 6, 12, 18 and 24 months)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Usual care:</w:t>
            </w:r>
            <w:r>
              <w:rPr>
                <w:rFonts w:ascii="Times New Roman" w:hAnsi="Times New Roman" w:cs="Times New Roman"/>
              </w:rPr>
              <w:t xml:space="preserve"> hypertension care f</w:t>
            </w:r>
            <w:r w:rsidRPr="00D9023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</w:t>
            </w:r>
            <w:r w:rsidRPr="00D90236">
              <w:rPr>
                <w:rFonts w:ascii="Times New Roman" w:hAnsi="Times New Roman" w:cs="Times New Roman"/>
              </w:rPr>
              <w:t>m usual primary care provider.</w:t>
            </w:r>
          </w:p>
        </w:tc>
        <w:tc>
          <w:tcPr>
            <w:tcW w:w="181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Reduction in SBP compared to usual care at 12-months (95% CI)/ 24 months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Group 1: -1.6 (-3.9 to 0.7) / 0.6 (-2.2 to 3.4)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Group 2: -3.7 (-6.1 to -1.2)/ -0.6 (-3.6 to 2.3)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Group 3: -3.3 (-5.7 to -0.8)/  -3.9 (-6.9 to -0.9)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Reduction in DBP compared to usual care at 12-months (95% CI)/ 24 months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Group 1: -1.4 (-2.6 to 0.1)/ 0.4 9-1.1 to 1.9)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Group 2: -3.1 (-4.4 to -1.8)/ -1.2 (-2.9 to 0.4)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 xml:space="preserve">Group 3: -2.2 (-3.5 - -0.8)/ -2.2 (-3.8 to -0.6) </w:t>
            </w:r>
          </w:p>
        </w:tc>
        <w:tc>
          <w:tcPr>
            <w:tcW w:w="1725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>Combined intervention had greatest proportion of patients with BP control (at 24 months adjusted improvement compared to UC was 11%, 4.3% in behavioural management group and 7.6% in home monitoring group)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Interaction effects suggested that the BP monitoring and behavioural support enhanced one another over time – at 24 </w:t>
            </w:r>
            <w:r w:rsidRPr="00D90236">
              <w:rPr>
                <w:rFonts w:ascii="Times New Roman" w:hAnsi="Times New Roman" w:cs="Times New Roman"/>
              </w:rPr>
              <w:lastRenderedPageBreak/>
              <w:t>months systolic BP was only sig lower than UC in the combined group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5353" w:rsidRPr="00735FAA" w:rsidTr="00F2522E"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>Green et al (2008) – 3 group RCT: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1. Usual care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2. Home blood pressure monitoring (E-BP)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  <w:lang w:val="fr-FR"/>
              </w:rPr>
            </w:pPr>
            <w:r w:rsidRPr="00D90236">
              <w:rPr>
                <w:rFonts w:ascii="Times New Roman" w:hAnsi="Times New Roman" w:cs="Times New Roman"/>
                <w:lang w:val="fr-FR"/>
              </w:rPr>
              <w:t xml:space="preserve">3. E-BP plus pharmacist care management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Training:</w:t>
            </w:r>
            <w:r w:rsidRPr="00D90236">
              <w:rPr>
                <w:rFonts w:ascii="Times New Roman" w:hAnsi="Times New Roman" w:cs="Times New Roman"/>
              </w:rPr>
              <w:t xml:space="preserve"> Patients were asked to demonstrate that they could use the monitor independently. Training was also given for using the website. 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BP monitoring:</w:t>
            </w:r>
            <w:r w:rsidRPr="00D90236">
              <w:rPr>
                <w:rFonts w:ascii="Times New Roman" w:hAnsi="Times New Roman" w:cs="Times New Roman"/>
              </w:rPr>
              <w:t xml:space="preserve"> BP readings were taken at least twice per week, with 2 readings taken at a time. </w:t>
            </w:r>
          </w:p>
        </w:tc>
        <w:tc>
          <w:tcPr>
            <w:tcW w:w="1984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BP targets were set at &lt;135/85 mmHg.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Patients in the third (pharmacist) condition sent BP readings every 2 weeks; pharmacists decided if medication changes should be made. 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Pharmacists introduced patient action plan (instructions for BP monitoring, current meds, lifestyle goals, planned medication changes and follow-up plan). Support was provided every two weeks until BP was controlled (focussed on BP readings, medication concerns and lifestyle change progress). </w:t>
            </w:r>
          </w:p>
        </w:tc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12 months 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Patients were told their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BP was uncontrolled and to see their GP. All participants received a leaflet about hypertension.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Compared to usual care SBP at 12 months (mmHg, 95%CI):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Group 2 (monitoring): -6.0 (-8.5 to -3.5)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Group 3: -8.9 (-11.4 to 6.3)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Compared to usual care SBP at 12 months (mmHg, 95%CI):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Group 2 (monitoring): -6.0 (-8.5 to -3.5)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Group 3: -3.5 (-4.9 to -2.1)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eastAsia="Times New Roman" w:hAnsi="Times New Roman" w:cs="Times New Roman"/>
              </w:rPr>
              <w:t xml:space="preserve">1.8 times greater BP control with behavioural support and 1.2 times for monitoring only (compared with UC). </w:t>
            </w:r>
          </w:p>
        </w:tc>
        <w:tc>
          <w:tcPr>
            <w:tcW w:w="1725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Incremental cost-effectiveness ratios (IC-ERs)</w:t>
            </w:r>
            <w:r w:rsidRPr="00D90236">
              <w:rPr>
                <w:rFonts w:ascii="Times New Roman" w:hAnsi="Times New Roman" w:cs="Times New Roman"/>
              </w:rPr>
              <w:t xml:space="preserve"> calculated (change in costs relative to the change in outcomes measured).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BP monitoring and web-based pharmacist care improved BP control by 25% at a mean cost of $400 per patient, and an incremental cost of $16.65 per 1% increase of no of patients with BP control.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Pharmacist led programme – 1mmHg reduction in SBP was $65.29 ($114.82 for </w:t>
            </w:r>
            <w:r w:rsidRPr="00D90236">
              <w:rPr>
                <w:rFonts w:ascii="Times New Roman" w:hAnsi="Times New Roman" w:cs="Times New Roman"/>
              </w:rPr>
              <w:lastRenderedPageBreak/>
              <w:t>DBP). Increased cost in life expectancy was $1850 per year for women and $2220 per year for men.</w:t>
            </w:r>
          </w:p>
        </w:tc>
      </w:tr>
      <w:tr w:rsidR="00705353" w:rsidRPr="00735FAA" w:rsidTr="00F2522E">
        <w:trPr>
          <w:trHeight w:val="4485"/>
        </w:trPr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lastRenderedPageBreak/>
              <w:t>Margolis et al (2013) –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Training:</w:t>
            </w:r>
            <w:r w:rsidRPr="00D90236">
              <w:rPr>
                <w:rFonts w:ascii="Times New Roman" w:hAnsi="Times New Roman" w:cs="Times New Roman"/>
              </w:rPr>
              <w:t xml:space="preserve"> Patients received training from pharmacists during a 1-hour visit. 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  <w:u w:val="single"/>
              </w:rPr>
              <w:t>BP monitoring:</w:t>
            </w:r>
            <w:r w:rsidRPr="00D90236">
              <w:rPr>
                <w:rFonts w:ascii="Times New Roman" w:hAnsi="Times New Roman" w:cs="Times New Roman"/>
              </w:rPr>
              <w:t xml:space="preserve"> Patients were asked to record at least 6 BP readings per week (3 taken in the morning and 3 in the evening) for the first 6 months. </w:t>
            </w:r>
          </w:p>
        </w:tc>
        <w:tc>
          <w:tcPr>
            <w:tcW w:w="1984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Blood pressure targets were set at &lt;135/85 mmHg (or ≤125/75mmHg for patients with diabetes or kidney disease).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Medication changes were made if &lt;75% readings met blood pressure targets. 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Pharmacist support was provided by telephone every 2 weeks until BP </w:t>
            </w:r>
            <w:r>
              <w:rPr>
                <w:rFonts w:ascii="Times New Roman" w:hAnsi="Times New Roman" w:cs="Times New Roman"/>
              </w:rPr>
              <w:t xml:space="preserve">control </w:t>
            </w:r>
            <w:r w:rsidRPr="00D90236">
              <w:rPr>
                <w:rFonts w:ascii="Times New Roman" w:hAnsi="Times New Roman" w:cs="Times New Roman"/>
              </w:rPr>
              <w:t xml:space="preserve">was sustained for 6 weeks and then reduced to one per month for first 6 months (telephone contact was reduced to every 2 months during months 7-12). During </w:t>
            </w:r>
            <w:r>
              <w:rPr>
                <w:rFonts w:ascii="Times New Roman" w:hAnsi="Times New Roman" w:cs="Times New Roman"/>
              </w:rPr>
              <w:t xml:space="preserve">pharmacist </w:t>
            </w:r>
            <w:r w:rsidRPr="00D90236">
              <w:rPr>
                <w:rFonts w:ascii="Times New Roman" w:hAnsi="Times New Roman" w:cs="Times New Roman"/>
              </w:rPr>
              <w:t xml:space="preserve">contact emphasized medication adherence and lifestyle changes. </w:t>
            </w:r>
          </w:p>
        </w:tc>
        <w:tc>
          <w:tcPr>
            <w:tcW w:w="1418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12 months (follow up at 6,12 and 18 months)</w:t>
            </w:r>
          </w:p>
        </w:tc>
        <w:tc>
          <w:tcPr>
            <w:tcW w:w="155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Usual care (consisting of pharmacist consultations and BP home measurement) </w:t>
            </w:r>
          </w:p>
        </w:tc>
        <w:tc>
          <w:tcPr>
            <w:tcW w:w="1819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Compared to usual care SBP at 6, 12 &amp; 18 months (mmHg): -10.7, -9.7, -6.6mmHg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Compared to usual care DBP at 6, 12 &amp; 18 months (mmHg): -6, -5.1, -9.7 mmHg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BP control in intervention group: 6 months (71.8%), 12 months (71.2%), 18 months (71.8%)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Control group: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6 months (45.2%), 12 months (52.8%), 18 months (57.1%)</w:t>
            </w:r>
          </w:p>
        </w:tc>
        <w:tc>
          <w:tcPr>
            <w:tcW w:w="1725" w:type="dxa"/>
          </w:tcPr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Significantly more medication escalation in the intervention group.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 xml:space="preserve">$1045 per patient for 12 month programme, estimate direct programme costs would be $1350per person. </w:t>
            </w:r>
          </w:p>
          <w:p w:rsidR="00705353" w:rsidRPr="00D90236" w:rsidRDefault="00705353" w:rsidP="00F2522E">
            <w:pPr>
              <w:rPr>
                <w:rFonts w:ascii="Times New Roman" w:hAnsi="Times New Roman" w:cs="Times New Roman"/>
              </w:rPr>
            </w:pPr>
            <w:r w:rsidRPr="00D90236">
              <w:rPr>
                <w:rFonts w:ascii="Times New Roman" w:hAnsi="Times New Roman" w:cs="Times New Roman"/>
              </w:rPr>
              <w:t>Absolute difference in BP of 15% at 18 months compared to UC.</w:t>
            </w:r>
          </w:p>
        </w:tc>
      </w:tr>
    </w:tbl>
    <w:p w:rsidR="00D0577F" w:rsidRDefault="00F052B7">
      <w:bookmarkStart w:id="0" w:name="_GoBack"/>
      <w:bookmarkEnd w:id="0"/>
    </w:p>
    <w:sectPr w:rsidR="00D0577F" w:rsidSect="0070535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51" w:rsidRDefault="009F1F51" w:rsidP="00705353">
      <w:pPr>
        <w:spacing w:after="0" w:line="240" w:lineRule="auto"/>
      </w:pPr>
      <w:r>
        <w:separator/>
      </w:r>
    </w:p>
  </w:endnote>
  <w:endnote w:type="continuationSeparator" w:id="0">
    <w:p w:rsidR="009F1F51" w:rsidRDefault="009F1F51" w:rsidP="0070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6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353" w:rsidRDefault="006F3ECF">
        <w:pPr>
          <w:pStyle w:val="Footer"/>
          <w:jc w:val="right"/>
        </w:pPr>
        <w:r>
          <w:fldChar w:fldCharType="begin"/>
        </w:r>
        <w:r w:rsidR="00705353">
          <w:instrText xml:space="preserve"> PAGE   \* MERGEFORMAT </w:instrText>
        </w:r>
        <w:r>
          <w:fldChar w:fldCharType="separate"/>
        </w:r>
        <w:r w:rsidR="00F052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5353" w:rsidRDefault="0070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51" w:rsidRDefault="009F1F51" w:rsidP="00705353">
      <w:pPr>
        <w:spacing w:after="0" w:line="240" w:lineRule="auto"/>
      </w:pPr>
      <w:r>
        <w:separator/>
      </w:r>
    </w:p>
  </w:footnote>
  <w:footnote w:type="continuationSeparator" w:id="0">
    <w:p w:rsidR="009F1F51" w:rsidRDefault="009F1F51" w:rsidP="00705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353"/>
    <w:rsid w:val="005359BA"/>
    <w:rsid w:val="00675472"/>
    <w:rsid w:val="006F3ECF"/>
    <w:rsid w:val="00705353"/>
    <w:rsid w:val="009F1F51"/>
    <w:rsid w:val="00A028FE"/>
    <w:rsid w:val="00EB4396"/>
    <w:rsid w:val="00F0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53"/>
  </w:style>
  <w:style w:type="paragraph" w:styleId="Footer">
    <w:name w:val="footer"/>
    <w:basedOn w:val="Normal"/>
    <w:link w:val="FooterChar"/>
    <w:uiPriority w:val="99"/>
    <w:unhideWhenUsed/>
    <w:rsid w:val="0070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53"/>
  </w:style>
  <w:style w:type="table" w:styleId="TableGrid">
    <w:name w:val="Table Grid"/>
    <w:basedOn w:val="TableNormal"/>
    <w:uiPriority w:val="59"/>
    <w:rsid w:val="0070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 R.J.</dc:creator>
  <cp:keywords/>
  <dc:description/>
  <cp:lastModifiedBy>jepartosa</cp:lastModifiedBy>
  <cp:revision>3</cp:revision>
  <dcterms:created xsi:type="dcterms:W3CDTF">2016-01-13T17:55:00Z</dcterms:created>
  <dcterms:modified xsi:type="dcterms:W3CDTF">2017-02-13T02:35:00Z</dcterms:modified>
</cp:coreProperties>
</file>