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C18C" w14:textId="77777777" w:rsidR="00D63F27" w:rsidRPr="00442BBC" w:rsidRDefault="00D63F27" w:rsidP="00D63F27">
      <w:pPr>
        <w:pStyle w:val="Text"/>
      </w:pPr>
      <w:r w:rsidRPr="00442BBC">
        <w:rPr>
          <w:b/>
          <w:bCs/>
          <w:lang w:val="en-GB"/>
        </w:rPr>
        <w:t>Additional file 3: Table S3.</w:t>
      </w:r>
      <w:r w:rsidRPr="00450622">
        <w:rPr>
          <w:lang w:val="en-GB"/>
        </w:rPr>
        <w:t xml:space="preserve"> </w:t>
      </w:r>
      <w:r w:rsidRPr="00442BBC">
        <w:t>Survey questionnaire for neurologists or child neurologists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3F27" w14:paraId="47572360" w14:textId="77777777" w:rsidTr="00D369AD">
        <w:tc>
          <w:tcPr>
            <w:tcW w:w="4530" w:type="dxa"/>
          </w:tcPr>
          <w:p w14:paraId="2304DD2C" w14:textId="77777777" w:rsidR="00D63F27" w:rsidRPr="00442BBC" w:rsidRDefault="00D63F27" w:rsidP="00D369AD">
            <w:pPr>
              <w:pStyle w:val="Text"/>
              <w:jc w:val="center"/>
              <w:rPr>
                <w:szCs w:val="22"/>
                <w:lang w:val="en-GB"/>
              </w:rPr>
            </w:pPr>
            <w:r w:rsidRPr="00442BBC">
              <w:rPr>
                <w:b/>
                <w:bCs/>
                <w:szCs w:val="22"/>
                <w:lang w:val="en-GB"/>
              </w:rPr>
              <w:t>Questions</w:t>
            </w:r>
          </w:p>
        </w:tc>
        <w:tc>
          <w:tcPr>
            <w:tcW w:w="4530" w:type="dxa"/>
          </w:tcPr>
          <w:p w14:paraId="0CA59523" w14:textId="77777777" w:rsidR="00D63F27" w:rsidRPr="00442BBC" w:rsidRDefault="00D63F27" w:rsidP="00D369AD">
            <w:pPr>
              <w:pStyle w:val="Text"/>
              <w:jc w:val="center"/>
              <w:rPr>
                <w:szCs w:val="22"/>
                <w:lang w:val="en-GB"/>
              </w:rPr>
            </w:pPr>
            <w:r w:rsidRPr="00442BBC">
              <w:rPr>
                <w:b/>
                <w:bCs/>
                <w:szCs w:val="22"/>
                <w:lang w:val="en-GB"/>
              </w:rPr>
              <w:t>Choices presented</w:t>
            </w:r>
          </w:p>
        </w:tc>
      </w:tr>
      <w:tr w:rsidR="00D63F27" w14:paraId="63A7EE63" w14:textId="77777777" w:rsidTr="00D369AD">
        <w:trPr>
          <w:trHeight w:val="1812"/>
        </w:trPr>
        <w:tc>
          <w:tcPr>
            <w:tcW w:w="4530" w:type="dxa"/>
          </w:tcPr>
          <w:p w14:paraId="74F4F489" w14:textId="77777777" w:rsidR="00D63F27" w:rsidRPr="00442BBC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BBC">
              <w:rPr>
                <w:szCs w:val="22"/>
                <w:lang w:val="en-GB"/>
              </w:rPr>
              <w:t>1) How regularly do you screen your patients for abnormal electric activity or seizure disorders?</w:t>
            </w:r>
          </w:p>
        </w:tc>
        <w:tc>
          <w:tcPr>
            <w:tcW w:w="4530" w:type="dxa"/>
          </w:tcPr>
          <w:p w14:paraId="745623BA" w14:textId="77777777" w:rsidR="00D63F27" w:rsidRPr="00442BBC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BBC">
              <w:rPr>
                <w:szCs w:val="22"/>
                <w:lang w:val="en-GB"/>
              </w:rPr>
              <w:t>Never</w:t>
            </w:r>
          </w:p>
          <w:p w14:paraId="27A58F6E" w14:textId="77777777" w:rsidR="00D63F27" w:rsidRPr="00442BBC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BBC">
              <w:rPr>
                <w:szCs w:val="22"/>
                <w:lang w:val="en-GB"/>
              </w:rPr>
              <w:t>Rarely</w:t>
            </w:r>
          </w:p>
          <w:p w14:paraId="157C485A" w14:textId="77777777" w:rsidR="00D63F27" w:rsidRPr="00442BBC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BBC">
              <w:rPr>
                <w:szCs w:val="22"/>
                <w:lang w:val="en-GB"/>
              </w:rPr>
              <w:t>Sometimes</w:t>
            </w:r>
          </w:p>
          <w:p w14:paraId="5BF072EB" w14:textId="1889FDF5" w:rsidR="00D63F27" w:rsidRPr="00442BBC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BBC">
              <w:rPr>
                <w:szCs w:val="22"/>
                <w:lang w:val="en-GB"/>
              </w:rPr>
              <w:t>Only if the patient/caregiver or HCP/</w:t>
            </w:r>
            <w:r w:rsidR="00CE4A97">
              <w:rPr>
                <w:szCs w:val="22"/>
                <w:lang w:val="en-GB"/>
              </w:rPr>
              <w:t>TSC</w:t>
            </w:r>
            <w:r w:rsidRPr="00442BBC">
              <w:rPr>
                <w:szCs w:val="22"/>
                <w:lang w:val="en-GB"/>
              </w:rPr>
              <w:t xml:space="preserve"> specialist requests it</w:t>
            </w:r>
          </w:p>
          <w:p w14:paraId="3275937D" w14:textId="77777777" w:rsidR="00D63F27" w:rsidRPr="00442BBC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BBC">
              <w:rPr>
                <w:szCs w:val="22"/>
                <w:lang w:val="en-GB"/>
              </w:rPr>
              <w:t>Once a year</w:t>
            </w:r>
          </w:p>
        </w:tc>
      </w:tr>
      <w:tr w:rsidR="00D63F27" w14:paraId="7F3E87C0" w14:textId="77777777" w:rsidTr="00D369AD">
        <w:trPr>
          <w:trHeight w:val="1362"/>
        </w:trPr>
        <w:tc>
          <w:tcPr>
            <w:tcW w:w="4530" w:type="dxa"/>
          </w:tcPr>
          <w:p w14:paraId="3C712CD9" w14:textId="77777777" w:rsidR="00D63F27" w:rsidRPr="00442881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2) How are your patients screened?</w:t>
            </w:r>
          </w:p>
        </w:tc>
        <w:tc>
          <w:tcPr>
            <w:tcW w:w="4530" w:type="dxa"/>
          </w:tcPr>
          <w:p w14:paraId="5CD2555A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Medical interview</w:t>
            </w:r>
          </w:p>
          <w:p w14:paraId="0C213358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Checklist screening tool</w:t>
            </w:r>
          </w:p>
          <w:p w14:paraId="70BB5BAE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Clinical exam in combination with CT</w:t>
            </w:r>
          </w:p>
          <w:p w14:paraId="5EB92290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Clinical exam in combination with MRI</w:t>
            </w:r>
          </w:p>
          <w:p w14:paraId="7F6FCDFE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Other (please specify)</w:t>
            </w:r>
          </w:p>
        </w:tc>
      </w:tr>
      <w:tr w:rsidR="00D63F27" w14:paraId="6E14747E" w14:textId="77777777" w:rsidTr="00D369AD">
        <w:trPr>
          <w:trHeight w:val="2442"/>
        </w:trPr>
        <w:tc>
          <w:tcPr>
            <w:tcW w:w="4530" w:type="dxa"/>
          </w:tcPr>
          <w:p w14:paraId="1CEAC1F8" w14:textId="77777777" w:rsidR="00D63F27" w:rsidRPr="00442881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3) In your experience, what are the barriers to effective assessment of neurocognitive difficulties in a TSC patient by HCPs?</w:t>
            </w:r>
          </w:p>
        </w:tc>
        <w:tc>
          <w:tcPr>
            <w:tcW w:w="4530" w:type="dxa"/>
          </w:tcPr>
          <w:p w14:paraId="75200C40" w14:textId="3AF637EC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 xml:space="preserve">Lack of routine checks for neurocognitive symptoms known to be associated with </w:t>
            </w:r>
            <w:r w:rsidR="00CE4A97">
              <w:rPr>
                <w:szCs w:val="22"/>
                <w:lang w:val="en-GB"/>
              </w:rPr>
              <w:t>TSC</w:t>
            </w:r>
          </w:p>
          <w:p w14:paraId="6982E630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Lack of neurophysiological tests</w:t>
            </w:r>
          </w:p>
          <w:p w14:paraId="5DC5B1DA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Limited experience with comprehensive assessment of cognitive development or behaviour</w:t>
            </w:r>
          </w:p>
          <w:p w14:paraId="0444E00D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Limited experience with diagnostic criteria for psychiatric disorders</w:t>
            </w:r>
          </w:p>
          <w:p w14:paraId="6153FCC1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Other (please specify)</w:t>
            </w:r>
          </w:p>
        </w:tc>
      </w:tr>
      <w:tr w:rsidR="00D63F27" w14:paraId="2885DAE1" w14:textId="77777777" w:rsidTr="00D369AD">
        <w:trPr>
          <w:trHeight w:val="1308"/>
        </w:trPr>
        <w:tc>
          <w:tcPr>
            <w:tcW w:w="4530" w:type="dxa"/>
          </w:tcPr>
          <w:p w14:paraId="21C5F3B2" w14:textId="77777777" w:rsidR="00D63F27" w:rsidRPr="00442881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4) How difficult is it for you to refer a TSC patient to psychiatry?</w:t>
            </w:r>
          </w:p>
        </w:tc>
        <w:tc>
          <w:tcPr>
            <w:tcW w:w="4530" w:type="dxa"/>
          </w:tcPr>
          <w:p w14:paraId="4222B91F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Easy</w:t>
            </w:r>
          </w:p>
          <w:p w14:paraId="4924C2B6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Somewhat difficult</w:t>
            </w:r>
          </w:p>
          <w:p w14:paraId="224EA1E7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Difficult</w:t>
            </w:r>
          </w:p>
          <w:p w14:paraId="3DA5CFF8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Very difficult</w:t>
            </w:r>
          </w:p>
          <w:p w14:paraId="1D2827A6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Not required</w:t>
            </w:r>
          </w:p>
        </w:tc>
      </w:tr>
      <w:tr w:rsidR="00D63F27" w14:paraId="1A8DC440" w14:textId="77777777" w:rsidTr="00D369AD">
        <w:trPr>
          <w:trHeight w:val="3747"/>
        </w:trPr>
        <w:tc>
          <w:tcPr>
            <w:tcW w:w="4530" w:type="dxa"/>
          </w:tcPr>
          <w:p w14:paraId="322ABFD5" w14:textId="77777777" w:rsidR="00D63F27" w:rsidRPr="00442881" w:rsidRDefault="00D63F27" w:rsidP="00D369AD">
            <w:pPr>
              <w:pStyle w:val="Text"/>
              <w:spacing w:line="240" w:lineRule="auto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5) In your experience, what barriers are there to effective collaboration between neurologists and psychiatrists in terms of TSC treatment (if any)?</w:t>
            </w:r>
          </w:p>
        </w:tc>
        <w:tc>
          <w:tcPr>
            <w:tcW w:w="4530" w:type="dxa"/>
          </w:tcPr>
          <w:p w14:paraId="2D0E1CE8" w14:textId="77777777" w:rsidR="00D63F27" w:rsidRPr="00442881" w:rsidRDefault="00D63F27" w:rsidP="00D369AD">
            <w:pPr>
              <w:pStyle w:val="Text"/>
              <w:spacing w:line="240" w:lineRule="auto"/>
              <w:jc w:val="center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(Select all that are appropriate)</w:t>
            </w:r>
          </w:p>
          <w:p w14:paraId="1177B18C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Lack of time/resources for multidisciplinary interactions</w:t>
            </w:r>
          </w:p>
          <w:p w14:paraId="37E3035A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Culture</w:t>
            </w:r>
          </w:p>
          <w:p w14:paraId="1B047614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Lack of time/resources in psychiatry</w:t>
            </w:r>
          </w:p>
          <w:p w14:paraId="1532A3B3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Lack of time/resources in neurology</w:t>
            </w:r>
          </w:p>
          <w:p w14:paraId="52BED9FA" w14:textId="4E96E5CC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 xml:space="preserve">Reluctance among psychiatrists to take on </w:t>
            </w:r>
            <w:r w:rsidR="00CE4A97">
              <w:rPr>
                <w:szCs w:val="22"/>
                <w:lang w:val="en-GB"/>
              </w:rPr>
              <w:t xml:space="preserve">TSC </w:t>
            </w:r>
            <w:r w:rsidRPr="00442881">
              <w:rPr>
                <w:szCs w:val="22"/>
                <w:lang w:val="en-GB"/>
              </w:rPr>
              <w:t>patients because of a lack of knowledge/training in management of this rare and complex disease</w:t>
            </w:r>
          </w:p>
          <w:p w14:paraId="7EBD1E63" w14:textId="5B56F3BA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 xml:space="preserve">Reluctance among neurologists to refer </w:t>
            </w:r>
            <w:r w:rsidR="00CE4A97">
              <w:rPr>
                <w:szCs w:val="22"/>
                <w:lang w:val="en-GB"/>
              </w:rPr>
              <w:t xml:space="preserve">TSC </w:t>
            </w:r>
            <w:r w:rsidRPr="00442881">
              <w:rPr>
                <w:szCs w:val="22"/>
                <w:lang w:val="en-GB"/>
              </w:rPr>
              <w:t>patients for psychiatric assessment/treatment</w:t>
            </w:r>
          </w:p>
          <w:p w14:paraId="3843C29D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Other (please specify)</w:t>
            </w:r>
          </w:p>
        </w:tc>
      </w:tr>
      <w:tr w:rsidR="00D63F27" w14:paraId="65F58D41" w14:textId="77777777" w:rsidTr="00D369AD">
        <w:trPr>
          <w:trHeight w:val="1092"/>
        </w:trPr>
        <w:tc>
          <w:tcPr>
            <w:tcW w:w="4530" w:type="dxa"/>
          </w:tcPr>
          <w:p w14:paraId="4BAE7C1A" w14:textId="77777777" w:rsidR="00D63F27" w:rsidRPr="00442881" w:rsidRDefault="00D63F27" w:rsidP="00D369AD">
            <w:pPr>
              <w:pStyle w:val="Text"/>
              <w:spacing w:line="240" w:lineRule="auto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6) How confident are you in knowing when to refer a TSC patient to a psychiatrist?</w:t>
            </w:r>
          </w:p>
        </w:tc>
        <w:tc>
          <w:tcPr>
            <w:tcW w:w="4530" w:type="dxa"/>
          </w:tcPr>
          <w:p w14:paraId="7FDBDBC4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Not confident</w:t>
            </w:r>
          </w:p>
          <w:p w14:paraId="308AE4BE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Somewhat confident</w:t>
            </w:r>
          </w:p>
          <w:p w14:paraId="5B760E49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Confident</w:t>
            </w:r>
          </w:p>
          <w:p w14:paraId="5B0EE860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Very confident</w:t>
            </w:r>
          </w:p>
        </w:tc>
      </w:tr>
      <w:tr w:rsidR="00D63F27" w14:paraId="32F23FBA" w14:textId="77777777" w:rsidTr="00D369AD">
        <w:trPr>
          <w:trHeight w:val="1152"/>
        </w:trPr>
        <w:tc>
          <w:tcPr>
            <w:tcW w:w="4530" w:type="dxa"/>
          </w:tcPr>
          <w:p w14:paraId="1838E369" w14:textId="77777777" w:rsidR="00D63F27" w:rsidRPr="00442881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7) How confident are you in discussing psychiatric assessment and treatment requirements with a TSC patient or patient family/caregiver?</w:t>
            </w:r>
          </w:p>
        </w:tc>
        <w:tc>
          <w:tcPr>
            <w:tcW w:w="4530" w:type="dxa"/>
          </w:tcPr>
          <w:p w14:paraId="59790317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Not confident</w:t>
            </w:r>
          </w:p>
          <w:p w14:paraId="1278824B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Somewhat confident</w:t>
            </w:r>
          </w:p>
          <w:p w14:paraId="342B312B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Confident</w:t>
            </w:r>
          </w:p>
          <w:p w14:paraId="780A01C1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Very confident</w:t>
            </w:r>
          </w:p>
        </w:tc>
      </w:tr>
      <w:tr w:rsidR="00D63F27" w14:paraId="4F0CFF2B" w14:textId="77777777" w:rsidTr="00D369AD">
        <w:trPr>
          <w:trHeight w:val="1524"/>
        </w:trPr>
        <w:tc>
          <w:tcPr>
            <w:tcW w:w="4530" w:type="dxa"/>
          </w:tcPr>
          <w:p w14:paraId="12838ABB" w14:textId="77777777" w:rsidR="00D63F27" w:rsidRPr="00442881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lastRenderedPageBreak/>
              <w:t>8) In your experience, how often do you think that patients/patient’s families feel stigmatized when referred to psychiatric services?</w:t>
            </w:r>
          </w:p>
        </w:tc>
        <w:tc>
          <w:tcPr>
            <w:tcW w:w="4530" w:type="dxa"/>
          </w:tcPr>
          <w:p w14:paraId="5B6DD856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Never</w:t>
            </w:r>
          </w:p>
          <w:p w14:paraId="2011421F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Rarely</w:t>
            </w:r>
          </w:p>
          <w:p w14:paraId="512261CC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Sometimes</w:t>
            </w:r>
          </w:p>
          <w:p w14:paraId="2F0EB457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Often</w:t>
            </w:r>
          </w:p>
          <w:p w14:paraId="6229304A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Always</w:t>
            </w:r>
          </w:p>
          <w:p w14:paraId="612E7A0C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I don’t know</w:t>
            </w:r>
          </w:p>
        </w:tc>
      </w:tr>
      <w:tr w:rsidR="00D63F27" w14:paraId="67185FB2" w14:textId="77777777" w:rsidTr="00D369AD">
        <w:trPr>
          <w:trHeight w:val="1434"/>
        </w:trPr>
        <w:tc>
          <w:tcPr>
            <w:tcW w:w="4530" w:type="dxa"/>
          </w:tcPr>
          <w:p w14:paraId="40A5E22C" w14:textId="77777777" w:rsidR="00D63F27" w:rsidRPr="00442881" w:rsidRDefault="00D63F27" w:rsidP="00D369AD">
            <w:pPr>
              <w:pStyle w:val="Text"/>
              <w:spacing w:line="240" w:lineRule="auto"/>
              <w:ind w:left="247" w:hanging="247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9) Do you think standard psychiatric therapy works for TSC patients?</w:t>
            </w:r>
          </w:p>
        </w:tc>
        <w:tc>
          <w:tcPr>
            <w:tcW w:w="4530" w:type="dxa"/>
          </w:tcPr>
          <w:p w14:paraId="36E28BC0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Never</w:t>
            </w:r>
          </w:p>
          <w:p w14:paraId="2C180F74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Rarely</w:t>
            </w:r>
          </w:p>
          <w:p w14:paraId="3215B2A7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Sometimes</w:t>
            </w:r>
          </w:p>
          <w:p w14:paraId="05737E86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Often</w:t>
            </w:r>
          </w:p>
          <w:p w14:paraId="3AC98397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Always</w:t>
            </w:r>
          </w:p>
          <w:p w14:paraId="5FCA1870" w14:textId="77777777" w:rsidR="00D63F27" w:rsidRPr="00442881" w:rsidRDefault="00D63F27" w:rsidP="00D369AD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  <w:lang w:val="en-GB"/>
              </w:rPr>
            </w:pPr>
            <w:r w:rsidRPr="00442881">
              <w:rPr>
                <w:szCs w:val="22"/>
                <w:lang w:val="en-GB"/>
              </w:rPr>
              <w:t>I don’t know</w:t>
            </w:r>
          </w:p>
        </w:tc>
      </w:tr>
    </w:tbl>
    <w:p w14:paraId="2EC8774E" w14:textId="057CA06F" w:rsidR="000D075D" w:rsidRDefault="00D63F27" w:rsidP="00D63F27">
      <w:pPr>
        <w:pStyle w:val="Text"/>
      </w:pPr>
      <w:r>
        <w:t xml:space="preserve">CT, computed tomography; </w:t>
      </w:r>
      <w:r w:rsidRPr="00183DC9">
        <w:t xml:space="preserve">HCP, healthcare provider; </w:t>
      </w:r>
      <w:r>
        <w:t>MRI, magnetic resonance imaging;</w:t>
      </w:r>
      <w:r w:rsidRPr="0063333D">
        <w:t xml:space="preserve"> TSC, tuberous sclerosis complex</w:t>
      </w:r>
    </w:p>
    <w:sectPr w:rsidR="000D075D" w:rsidSect="00E33C5A">
      <w:pgSz w:w="11906" w:h="16838" w:code="9"/>
      <w:pgMar w:top="1418" w:right="1418" w:bottom="1418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0434" w14:textId="77777777" w:rsidR="00CA5F56" w:rsidRDefault="00CA5F56" w:rsidP="00F01EFE">
      <w:pPr>
        <w:spacing w:line="240" w:lineRule="auto"/>
      </w:pPr>
      <w:r>
        <w:separator/>
      </w:r>
    </w:p>
  </w:endnote>
  <w:endnote w:type="continuationSeparator" w:id="0">
    <w:p w14:paraId="6FFDC263" w14:textId="77777777" w:rsidR="00CA5F56" w:rsidRDefault="00CA5F56" w:rsidP="00F01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A477" w14:textId="77777777" w:rsidR="00CA5F56" w:rsidRDefault="00CA5F56" w:rsidP="00F01EFE">
      <w:pPr>
        <w:spacing w:line="240" w:lineRule="auto"/>
      </w:pPr>
      <w:r>
        <w:separator/>
      </w:r>
    </w:p>
  </w:footnote>
  <w:footnote w:type="continuationSeparator" w:id="0">
    <w:p w14:paraId="2C02BE21" w14:textId="77777777" w:rsidR="00CA5F56" w:rsidRDefault="00CA5F56" w:rsidP="00F01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9C7"/>
    <w:multiLevelType w:val="hybridMultilevel"/>
    <w:tmpl w:val="A2E0F5F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65025C4A"/>
    <w:multiLevelType w:val="multilevel"/>
    <w:tmpl w:val="143A40E2"/>
    <w:numStyleLink w:val="Bulletlist"/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27"/>
    <w:rsid w:val="000201C0"/>
    <w:rsid w:val="000D075D"/>
    <w:rsid w:val="00432AEA"/>
    <w:rsid w:val="004D71E8"/>
    <w:rsid w:val="006F4FE4"/>
    <w:rsid w:val="00A213F7"/>
    <w:rsid w:val="00B77BEC"/>
    <w:rsid w:val="00CA5F56"/>
    <w:rsid w:val="00CE4A97"/>
    <w:rsid w:val="00D63F27"/>
    <w:rsid w:val="00E33C5A"/>
    <w:rsid w:val="00F01EFE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B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27"/>
    <w:p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Text"/>
    <w:link w:val="InstructionsChar"/>
    <w:rsid w:val="00D63F27"/>
    <w:rPr>
      <w:rFonts w:cs="Arial"/>
      <w:bCs/>
      <w:i/>
      <w:iCs/>
      <w:sz w:val="20"/>
    </w:rPr>
  </w:style>
  <w:style w:type="numbering" w:customStyle="1" w:styleId="Bulletlist">
    <w:name w:val="Bullet list"/>
    <w:basedOn w:val="NoList"/>
    <w:semiHidden/>
    <w:rsid w:val="00D63F27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D63F27"/>
    <w:pPr>
      <w:spacing w:line="480" w:lineRule="auto"/>
    </w:pPr>
    <w:rPr>
      <w:lang w:eastAsia="en-US"/>
    </w:rPr>
  </w:style>
  <w:style w:type="paragraph" w:customStyle="1" w:styleId="Bulletlevel2">
    <w:name w:val="Bullet level 2"/>
    <w:basedOn w:val="Text"/>
    <w:semiHidden/>
    <w:rsid w:val="00D63F27"/>
    <w:pPr>
      <w:numPr>
        <w:ilvl w:val="1"/>
        <w:numId w:val="2"/>
      </w:numPr>
      <w:tabs>
        <w:tab w:val="clear" w:pos="567"/>
        <w:tab w:val="num" w:pos="360"/>
      </w:tabs>
      <w:ind w:left="0" w:firstLine="0"/>
    </w:pPr>
    <w:rPr>
      <w:lang w:eastAsia="en-GB"/>
    </w:rPr>
  </w:style>
  <w:style w:type="paragraph" w:customStyle="1" w:styleId="Bulletlevel3">
    <w:name w:val="Bullet level 3"/>
    <w:basedOn w:val="Text"/>
    <w:semiHidden/>
    <w:rsid w:val="00D63F27"/>
    <w:pPr>
      <w:numPr>
        <w:ilvl w:val="2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Bulletlevel4">
    <w:name w:val="Bullet level 4"/>
    <w:basedOn w:val="Text"/>
    <w:semiHidden/>
    <w:rsid w:val="00D63F27"/>
    <w:pPr>
      <w:numPr>
        <w:ilvl w:val="3"/>
        <w:numId w:val="2"/>
      </w:numPr>
      <w:tabs>
        <w:tab w:val="clear" w:pos="1134"/>
        <w:tab w:val="num" w:pos="360"/>
      </w:tabs>
      <w:ind w:left="1135" w:hanging="284"/>
    </w:pPr>
  </w:style>
  <w:style w:type="character" w:customStyle="1" w:styleId="InstructionsChar">
    <w:name w:val="Instructions Char"/>
    <w:basedOn w:val="DefaultParagraphFont"/>
    <w:link w:val="Instructions"/>
    <w:rsid w:val="00D63F27"/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paragraph" w:customStyle="1" w:styleId="Manuscriptheading2">
    <w:name w:val="Manuscript heading 2"/>
    <w:basedOn w:val="Heading2"/>
    <w:next w:val="Text"/>
    <w:link w:val="Manuscriptheading2CharChar"/>
    <w:rsid w:val="00D63F27"/>
    <w:pPr>
      <w:keepLines w:val="0"/>
      <w:tabs>
        <w:tab w:val="left" w:pos="1134"/>
      </w:tabs>
      <w:spacing w:before="240" w:after="60" w:line="48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xtChar">
    <w:name w:val="Text Char"/>
    <w:basedOn w:val="DefaultParagraphFont"/>
    <w:link w:val="Text"/>
    <w:rsid w:val="00D63F27"/>
    <w:rPr>
      <w:rFonts w:ascii="Arial" w:eastAsia="Times New Roman" w:hAnsi="Arial" w:cs="Times New Roman"/>
      <w:szCs w:val="20"/>
    </w:rPr>
  </w:style>
  <w:style w:type="character" w:customStyle="1" w:styleId="Manuscriptheading2CharChar">
    <w:name w:val="Manuscript heading 2 Char Char"/>
    <w:basedOn w:val="Heading2Char"/>
    <w:link w:val="Manuscriptheading2"/>
    <w:rsid w:val="00D63F27"/>
    <w:rPr>
      <w:rFonts w:ascii="Arial" w:eastAsia="Times New Roman" w:hAnsi="Arial" w:cs="Arial"/>
      <w:b/>
      <w:bCs/>
      <w:color w:val="2F5496" w:themeColor="accent1" w:themeShade="BF"/>
      <w:sz w:val="28"/>
      <w:szCs w:val="24"/>
      <w:lang w:eastAsia="en-GB"/>
    </w:rPr>
  </w:style>
  <w:style w:type="table" w:styleId="TableGridLight">
    <w:name w:val="Grid Table Light"/>
    <w:basedOn w:val="TableNormal"/>
    <w:uiPriority w:val="40"/>
    <w:rsid w:val="00D6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63F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D63F27"/>
  </w:style>
  <w:style w:type="character" w:styleId="CommentReference">
    <w:name w:val="annotation reference"/>
    <w:basedOn w:val="DefaultParagraphFont"/>
    <w:uiPriority w:val="99"/>
    <w:semiHidden/>
    <w:unhideWhenUsed/>
    <w:rsid w:val="00B7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BE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E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EC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E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1E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FE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E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FE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2021-01-28T11:11:00Z</dcterms:created>
  <dcterms:modified xsi:type="dcterms:W3CDTF">2021-03-03T01:42:00Z</dcterms:modified>
</cp:coreProperties>
</file>