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8D0BE" w14:textId="77777777" w:rsidR="00F52A22" w:rsidRPr="00FD4E73" w:rsidRDefault="00F52A22" w:rsidP="00F52A22">
      <w:pPr>
        <w:pStyle w:val="Manuscriptbody"/>
        <w:rPr>
          <w:b/>
          <w:lang w:val="en-GB"/>
        </w:rPr>
      </w:pPr>
      <w:r>
        <w:rPr>
          <w:b/>
          <w:lang w:val="en-GB"/>
        </w:rPr>
        <w:t>Additional File 1</w:t>
      </w:r>
      <w:r w:rsidRPr="00FD4E73">
        <w:rPr>
          <w:b/>
          <w:lang w:val="en-GB"/>
        </w:rPr>
        <w:t xml:space="preserve">: Data categories collected from </w:t>
      </w:r>
      <w:r>
        <w:rPr>
          <w:b/>
          <w:lang w:val="en-GB"/>
        </w:rPr>
        <w:t>patient</w:t>
      </w:r>
      <w:r w:rsidRPr="00FD4E73">
        <w:rPr>
          <w:b/>
          <w:lang w:val="en-GB"/>
        </w:rPr>
        <w:t xml:space="preserve"> medical records</w:t>
      </w:r>
    </w:p>
    <w:p w14:paraId="395D0195" w14:textId="77777777" w:rsidR="00F52A22" w:rsidRPr="007F0AEF" w:rsidRDefault="00F52A22" w:rsidP="00F52A22">
      <w:pPr>
        <w:pStyle w:val="Manuscriptbody"/>
        <w:numPr>
          <w:ilvl w:val="0"/>
          <w:numId w:val="1"/>
        </w:numPr>
        <w:rPr>
          <w:sz w:val="20"/>
          <w:szCs w:val="22"/>
          <w:lang w:val="en-GB"/>
        </w:rPr>
      </w:pPr>
      <w:r w:rsidRPr="007F0AEF">
        <w:rPr>
          <w:sz w:val="20"/>
          <w:szCs w:val="22"/>
          <w:lang w:val="en-GB"/>
        </w:rPr>
        <w:t>Date of data collection</w:t>
      </w:r>
    </w:p>
    <w:p w14:paraId="40129502" w14:textId="77777777" w:rsidR="00F52A22" w:rsidRPr="007F0AEF" w:rsidRDefault="00F52A22" w:rsidP="00F52A22">
      <w:pPr>
        <w:pStyle w:val="Manuscriptbody"/>
        <w:numPr>
          <w:ilvl w:val="0"/>
          <w:numId w:val="1"/>
        </w:numPr>
        <w:rPr>
          <w:sz w:val="20"/>
          <w:szCs w:val="22"/>
          <w:lang w:val="en-GB"/>
        </w:rPr>
      </w:pPr>
      <w:r w:rsidRPr="007F0AEF">
        <w:rPr>
          <w:sz w:val="20"/>
          <w:szCs w:val="22"/>
          <w:lang w:val="en-GB"/>
        </w:rPr>
        <w:t>General demographics (e.g., date of birth, age, gender)</w:t>
      </w:r>
    </w:p>
    <w:p w14:paraId="23EB4C70" w14:textId="77777777" w:rsidR="00F52A22" w:rsidRPr="007F0AEF" w:rsidRDefault="00F52A22" w:rsidP="00F52A22">
      <w:pPr>
        <w:pStyle w:val="Manuscriptbody"/>
        <w:numPr>
          <w:ilvl w:val="0"/>
          <w:numId w:val="1"/>
        </w:numPr>
        <w:rPr>
          <w:sz w:val="20"/>
          <w:szCs w:val="22"/>
          <w:lang w:val="en-GB"/>
        </w:rPr>
      </w:pPr>
      <w:r w:rsidRPr="007F0AEF">
        <w:rPr>
          <w:sz w:val="20"/>
          <w:szCs w:val="22"/>
          <w:lang w:val="en-GB"/>
        </w:rPr>
        <w:t>Date of diagnosis of achondroplasia</w:t>
      </w:r>
    </w:p>
    <w:p w14:paraId="14E02EF2" w14:textId="77777777" w:rsidR="00F52A22" w:rsidRPr="007F0AEF" w:rsidRDefault="00F52A22" w:rsidP="00F52A22">
      <w:pPr>
        <w:pStyle w:val="Manuscriptbody"/>
        <w:numPr>
          <w:ilvl w:val="0"/>
          <w:numId w:val="1"/>
        </w:numPr>
        <w:rPr>
          <w:sz w:val="20"/>
          <w:szCs w:val="22"/>
          <w:lang w:val="en-GB"/>
        </w:rPr>
      </w:pPr>
      <w:r w:rsidRPr="007F0AEF">
        <w:rPr>
          <w:sz w:val="20"/>
          <w:szCs w:val="22"/>
          <w:lang w:val="en-GB"/>
        </w:rPr>
        <w:t>Diagnosis of achondroplasia (genetic confirmation of achondroplasia; clinically confirmed, by specialist, through clinical examination or radiological assessment)</w:t>
      </w:r>
    </w:p>
    <w:p w14:paraId="7775AD9D" w14:textId="77777777" w:rsidR="00F52A22" w:rsidRPr="007F0AEF" w:rsidRDefault="00F52A22" w:rsidP="00F52A22">
      <w:pPr>
        <w:pStyle w:val="Manuscriptbody"/>
        <w:numPr>
          <w:ilvl w:val="0"/>
          <w:numId w:val="1"/>
        </w:numPr>
        <w:rPr>
          <w:sz w:val="20"/>
          <w:szCs w:val="22"/>
          <w:lang w:val="en-GB"/>
        </w:rPr>
      </w:pPr>
      <w:r w:rsidRPr="007F0AEF">
        <w:rPr>
          <w:sz w:val="20"/>
          <w:szCs w:val="22"/>
          <w:lang w:val="en-GB"/>
        </w:rPr>
        <w:t>Clinical characteristics</w:t>
      </w:r>
      <w:r w:rsidRPr="007F0AEF">
        <w:rPr>
          <w:sz w:val="20"/>
          <w:szCs w:val="22"/>
        </w:rPr>
        <w:t xml:space="preserve"> of achondroplasia</w:t>
      </w:r>
      <w:r w:rsidRPr="007F0AEF">
        <w:rPr>
          <w:sz w:val="20"/>
          <w:szCs w:val="22"/>
          <w:lang w:val="en-GB"/>
        </w:rPr>
        <w:t xml:space="preserve"> at diagnosis (i.e., disproportionate short stature, </w:t>
      </w:r>
      <w:proofErr w:type="spellStart"/>
      <w:r w:rsidRPr="007F0AEF">
        <w:rPr>
          <w:sz w:val="20"/>
          <w:szCs w:val="22"/>
          <w:lang w:val="en-GB"/>
        </w:rPr>
        <w:t>rhizomelic</w:t>
      </w:r>
      <w:proofErr w:type="spellEnd"/>
      <w:r w:rsidRPr="007F0AEF">
        <w:rPr>
          <w:sz w:val="20"/>
          <w:szCs w:val="22"/>
          <w:lang w:val="en-GB"/>
        </w:rPr>
        <w:t xml:space="preserve"> shortening of the arms and legs, short fingers, limitation of elbow extension, trident configuration of the hands, </w:t>
      </w:r>
      <w:proofErr w:type="gramStart"/>
      <w:r w:rsidRPr="007F0AEF">
        <w:rPr>
          <w:sz w:val="20"/>
          <w:szCs w:val="22"/>
          <w:lang w:val="en-GB"/>
        </w:rPr>
        <w:t>bow legs</w:t>
      </w:r>
      <w:proofErr w:type="gramEnd"/>
      <w:r w:rsidRPr="007F0AEF">
        <w:rPr>
          <w:sz w:val="20"/>
          <w:szCs w:val="22"/>
          <w:lang w:val="en-GB"/>
        </w:rPr>
        <w:t>, thoracolumbar kyphosis, exaggerated lumbar lordosis, large head with frontal bossing, mid-facial hypoplasia, depressed nasal bridge)</w:t>
      </w:r>
    </w:p>
    <w:p w14:paraId="7892469C" w14:textId="77777777" w:rsidR="00F52A22" w:rsidRPr="007F0AEF" w:rsidRDefault="00F52A22" w:rsidP="00F52A22">
      <w:pPr>
        <w:pStyle w:val="Manuscriptbody"/>
        <w:numPr>
          <w:ilvl w:val="0"/>
          <w:numId w:val="1"/>
        </w:numPr>
        <w:rPr>
          <w:sz w:val="20"/>
          <w:szCs w:val="22"/>
          <w:lang w:val="en-GB"/>
        </w:rPr>
      </w:pPr>
      <w:r w:rsidRPr="007F0AEF">
        <w:rPr>
          <w:sz w:val="20"/>
          <w:szCs w:val="22"/>
          <w:lang w:val="en-GB"/>
        </w:rPr>
        <w:t xml:space="preserve">Radiological characteristics </w:t>
      </w:r>
      <w:r w:rsidRPr="007F0AEF">
        <w:rPr>
          <w:sz w:val="20"/>
          <w:szCs w:val="22"/>
        </w:rPr>
        <w:t xml:space="preserve">of achondroplasia </w:t>
      </w:r>
      <w:r w:rsidRPr="007F0AEF">
        <w:rPr>
          <w:sz w:val="20"/>
          <w:szCs w:val="22"/>
          <w:lang w:val="en-GB"/>
        </w:rPr>
        <w:t>at diagnosis (i.e., long bones, spine, pelvis, femurs)</w:t>
      </w:r>
    </w:p>
    <w:p w14:paraId="1EABC224" w14:textId="77777777" w:rsidR="00F52A22" w:rsidRPr="007F0AEF" w:rsidRDefault="00F52A22" w:rsidP="00F52A22">
      <w:pPr>
        <w:pStyle w:val="Manuscriptbody"/>
        <w:numPr>
          <w:ilvl w:val="0"/>
          <w:numId w:val="1"/>
        </w:numPr>
        <w:rPr>
          <w:sz w:val="20"/>
          <w:szCs w:val="22"/>
          <w:lang w:val="en-GB"/>
        </w:rPr>
      </w:pPr>
      <w:r w:rsidRPr="007F0AEF">
        <w:rPr>
          <w:sz w:val="20"/>
          <w:szCs w:val="22"/>
          <w:lang w:val="en-GB"/>
        </w:rPr>
        <w:t>Molecular genetic testing (date, confirmation of achondroplasia, type of mutation on the FGFR3 gene)</w:t>
      </w:r>
    </w:p>
    <w:p w14:paraId="3E438F1C" w14:textId="77777777" w:rsidR="00F52A22" w:rsidRPr="007F0AEF" w:rsidRDefault="00F52A22" w:rsidP="00F52A22">
      <w:pPr>
        <w:pStyle w:val="Manuscriptbody"/>
        <w:numPr>
          <w:ilvl w:val="0"/>
          <w:numId w:val="1"/>
        </w:numPr>
        <w:rPr>
          <w:sz w:val="20"/>
          <w:szCs w:val="22"/>
          <w:lang w:val="en-GB"/>
        </w:rPr>
      </w:pPr>
      <w:r w:rsidRPr="007F0AEF">
        <w:rPr>
          <w:sz w:val="20"/>
          <w:szCs w:val="22"/>
          <w:lang w:val="en-GB"/>
        </w:rPr>
        <w:t>Anthropometric measurements: growth characteristics at different ages (i.e., height, weight, head circumference, proportionality of body parts)</w:t>
      </w:r>
    </w:p>
    <w:p w14:paraId="40D5E935" w14:textId="77777777" w:rsidR="00F52A22" w:rsidRPr="007F0AEF" w:rsidRDefault="00F52A22" w:rsidP="00F52A22">
      <w:pPr>
        <w:pStyle w:val="Manuscriptbody"/>
        <w:numPr>
          <w:ilvl w:val="0"/>
          <w:numId w:val="1"/>
        </w:numPr>
        <w:rPr>
          <w:sz w:val="20"/>
          <w:szCs w:val="22"/>
          <w:lang w:val="en-GB"/>
        </w:rPr>
      </w:pPr>
      <w:r w:rsidRPr="007F0AEF">
        <w:rPr>
          <w:sz w:val="20"/>
          <w:szCs w:val="22"/>
          <w:lang w:val="en-GB"/>
        </w:rPr>
        <w:t>Mobility tests (dates and results)</w:t>
      </w:r>
    </w:p>
    <w:p w14:paraId="69606D65" w14:textId="77777777" w:rsidR="00F52A22" w:rsidRPr="007F0AEF" w:rsidRDefault="00F52A22" w:rsidP="00F52A22">
      <w:pPr>
        <w:pStyle w:val="Manuscriptbody"/>
        <w:numPr>
          <w:ilvl w:val="0"/>
          <w:numId w:val="1"/>
        </w:numPr>
        <w:rPr>
          <w:sz w:val="20"/>
          <w:szCs w:val="22"/>
          <w:lang w:val="en-GB"/>
        </w:rPr>
      </w:pPr>
      <w:r w:rsidRPr="007F0AEF">
        <w:rPr>
          <w:sz w:val="20"/>
          <w:szCs w:val="22"/>
          <w:lang w:val="en-GB"/>
        </w:rPr>
        <w:t xml:space="preserve">Medical history (investigators selected categories from a drop-down list; categories included macrocephaly/hydrocephalus, obstructive sleep </w:t>
      </w:r>
      <w:proofErr w:type="spellStart"/>
      <w:r w:rsidRPr="007F0AEF">
        <w:rPr>
          <w:sz w:val="20"/>
          <w:szCs w:val="22"/>
          <w:lang w:val="en-GB"/>
        </w:rPr>
        <w:t>apnea</w:t>
      </w:r>
      <w:proofErr w:type="spellEnd"/>
      <w:r w:rsidRPr="007F0AEF">
        <w:rPr>
          <w:sz w:val="20"/>
          <w:szCs w:val="22"/>
          <w:lang w:val="en-GB"/>
        </w:rPr>
        <w:t xml:space="preserve">, respiratory disorders, cardiovascular disorders, middle ear dysfunction, speech delay, </w:t>
      </w:r>
      <w:proofErr w:type="spellStart"/>
      <w:r w:rsidRPr="007F0AEF">
        <w:rPr>
          <w:sz w:val="20"/>
          <w:szCs w:val="22"/>
          <w:lang w:val="en-GB"/>
        </w:rPr>
        <w:t>adenotonsillar</w:t>
      </w:r>
      <w:proofErr w:type="spellEnd"/>
      <w:r w:rsidRPr="007F0AEF">
        <w:rPr>
          <w:sz w:val="20"/>
          <w:szCs w:val="22"/>
          <w:lang w:val="en-GB"/>
        </w:rPr>
        <w:t xml:space="preserve"> hypertrophy, dental overcrowding, bowing of the lower legs, kyphosis at the thoracolumbar junction, foramen magnum compression, symptomatic spinal stenosis/cord compression, arthritis/rheumatism, chronic neck or back pain, psychological disorders, musculoskeletal disorders, neurological disorders, obesity, ENT issues, gastroenterology disorders, endocrinology disorders, other)</w:t>
      </w:r>
    </w:p>
    <w:p w14:paraId="33519F0C" w14:textId="77777777" w:rsidR="00F52A22" w:rsidRPr="007F0AEF" w:rsidRDefault="00F52A22" w:rsidP="00F52A22">
      <w:pPr>
        <w:pStyle w:val="Manuscriptbody"/>
        <w:numPr>
          <w:ilvl w:val="0"/>
          <w:numId w:val="1"/>
        </w:numPr>
        <w:rPr>
          <w:sz w:val="20"/>
          <w:szCs w:val="22"/>
          <w:lang w:val="en-GB"/>
        </w:rPr>
      </w:pPr>
      <w:r w:rsidRPr="007F0AEF">
        <w:rPr>
          <w:sz w:val="20"/>
          <w:szCs w:val="22"/>
          <w:lang w:val="en-GB"/>
        </w:rPr>
        <w:t xml:space="preserve">Surgical history (investigators inputted dates and selected categories from a pre-defined list; categories included limb lengthening, spinal correction, grommet insertion, shunt insertion, shunt revision, brainstem decompression, tonsillectomy/adenoidectomy, orthodontic procedures, </w:t>
      </w:r>
      <w:r w:rsidRPr="007F0AEF">
        <w:rPr>
          <w:sz w:val="20"/>
          <w:szCs w:val="22"/>
        </w:rPr>
        <w:t>osteotomy, nerve decompression, myringotomory, tympanostomy with tube placement)</w:t>
      </w:r>
    </w:p>
    <w:p w14:paraId="5D4F63A7" w14:textId="77777777" w:rsidR="00F52A22" w:rsidRPr="007F0AEF" w:rsidRDefault="00F52A22" w:rsidP="00F52A22">
      <w:pPr>
        <w:pStyle w:val="Manuscriptbody"/>
        <w:numPr>
          <w:ilvl w:val="0"/>
          <w:numId w:val="1"/>
        </w:numPr>
        <w:rPr>
          <w:sz w:val="20"/>
          <w:szCs w:val="22"/>
          <w:lang w:val="en-GB"/>
        </w:rPr>
      </w:pPr>
      <w:r w:rsidRPr="007F0AEF">
        <w:rPr>
          <w:sz w:val="20"/>
          <w:szCs w:val="22"/>
          <w:lang w:val="en-GB"/>
        </w:rPr>
        <w:t>Treatment</w:t>
      </w:r>
      <w:r w:rsidRPr="007F0AEF">
        <w:rPr>
          <w:sz w:val="20"/>
          <w:szCs w:val="22"/>
        </w:rPr>
        <w:t xml:space="preserve"> and procedural</w:t>
      </w:r>
      <w:r w:rsidRPr="007F0AEF">
        <w:rPr>
          <w:sz w:val="20"/>
          <w:szCs w:val="22"/>
          <w:lang w:val="en-GB"/>
        </w:rPr>
        <w:t xml:space="preserve"> history (e.g., dates and type of treatments: medication prescriptions, continuous positive airway pressure or other ventilation support, speech therapy, family support)</w:t>
      </w:r>
    </w:p>
    <w:p w14:paraId="49AEE4C5" w14:textId="77777777" w:rsidR="00F52A22" w:rsidRPr="007F0AEF" w:rsidRDefault="00F52A22" w:rsidP="00F52A22">
      <w:pPr>
        <w:pStyle w:val="Manuscriptbody"/>
        <w:numPr>
          <w:ilvl w:val="0"/>
          <w:numId w:val="1"/>
        </w:numPr>
        <w:rPr>
          <w:sz w:val="20"/>
          <w:szCs w:val="22"/>
          <w:lang w:val="en-GB"/>
        </w:rPr>
      </w:pPr>
      <w:r w:rsidRPr="007F0AEF">
        <w:rPr>
          <w:sz w:val="20"/>
          <w:szCs w:val="22"/>
          <w:lang w:val="en-GB"/>
        </w:rPr>
        <w:t>Dates and results of previous examinations (investigators selected categories from a drop-down list; categories included radiological, cardiovascular, neurological, audiology, other)</w:t>
      </w:r>
    </w:p>
    <w:p w14:paraId="558B3102" w14:textId="77777777" w:rsidR="00F52A22" w:rsidRPr="007F0AEF" w:rsidRDefault="00F52A22" w:rsidP="00F52A22">
      <w:pPr>
        <w:pStyle w:val="Manuscriptbody"/>
        <w:numPr>
          <w:ilvl w:val="0"/>
          <w:numId w:val="1"/>
        </w:numPr>
        <w:rPr>
          <w:sz w:val="20"/>
          <w:szCs w:val="22"/>
          <w:lang w:val="en-GB"/>
        </w:rPr>
      </w:pPr>
      <w:r w:rsidRPr="007F0AEF">
        <w:rPr>
          <w:sz w:val="20"/>
          <w:szCs w:val="22"/>
          <w:lang w:val="en-GB"/>
        </w:rPr>
        <w:t xml:space="preserve">Dates, reasons and results of tests from previous visits to other healthcare professionals (investigators selected categories from a pre-defined list; categories included geneticist, </w:t>
      </w:r>
      <w:r w:rsidRPr="007F0AEF">
        <w:rPr>
          <w:sz w:val="20"/>
          <w:szCs w:val="22"/>
          <w:lang w:val="en-GB"/>
        </w:rPr>
        <w:lastRenderedPageBreak/>
        <w:t>paediatrician, respiratory physician, neurologist, neurosurgeon, physiotherapist, occupational therapist, speech therapist, dietician, orthoptist)</w:t>
      </w:r>
    </w:p>
    <w:p w14:paraId="57E3F297" w14:textId="77777777" w:rsidR="00F52A22" w:rsidRPr="007F0AEF" w:rsidRDefault="00F52A22" w:rsidP="00F52A22">
      <w:pPr>
        <w:pStyle w:val="Manuscriptbody"/>
        <w:numPr>
          <w:ilvl w:val="0"/>
          <w:numId w:val="1"/>
        </w:numPr>
        <w:rPr>
          <w:sz w:val="20"/>
          <w:szCs w:val="22"/>
          <w:lang w:val="en-GB"/>
        </w:rPr>
      </w:pPr>
      <w:r w:rsidRPr="007F0AEF">
        <w:rPr>
          <w:sz w:val="20"/>
          <w:szCs w:val="22"/>
          <w:lang w:val="en-GB"/>
        </w:rPr>
        <w:t>Healthcare resource use for a minimum of the five years prior to the date of enrolment (number of health-professional visits, hospitalisations, emergency room visits)</w:t>
      </w:r>
    </w:p>
    <w:p w14:paraId="5EDE7507" w14:textId="77777777" w:rsidR="00F52A22" w:rsidRPr="007F0AEF" w:rsidRDefault="00F52A22" w:rsidP="00F52A22">
      <w:pPr>
        <w:pStyle w:val="Manuscriptbody"/>
        <w:numPr>
          <w:ilvl w:val="0"/>
          <w:numId w:val="1"/>
        </w:numPr>
        <w:rPr>
          <w:sz w:val="20"/>
          <w:szCs w:val="22"/>
          <w:lang w:val="en-GB"/>
        </w:rPr>
      </w:pPr>
      <w:r w:rsidRPr="007F0AEF">
        <w:rPr>
          <w:sz w:val="20"/>
          <w:szCs w:val="22"/>
          <w:lang w:val="en-GB"/>
        </w:rPr>
        <w:t>History of pregnancies and their outcomes (female patients of childbearing potential)</w:t>
      </w:r>
    </w:p>
    <w:p w14:paraId="3258E8A8" w14:textId="77777777" w:rsidR="005C485A" w:rsidRPr="007F0AEF" w:rsidRDefault="005C485A">
      <w:pPr>
        <w:rPr>
          <w:sz w:val="20"/>
          <w:szCs w:val="20"/>
        </w:rPr>
      </w:pPr>
    </w:p>
    <w:sectPr w:rsidR="005C485A" w:rsidRPr="007F0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129A"/>
    <w:multiLevelType w:val="hybridMultilevel"/>
    <w:tmpl w:val="9C644566"/>
    <w:lvl w:ilvl="0" w:tplc="D040C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2B7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14E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FEC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454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A82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E3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72A8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9C7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22"/>
    <w:rsid w:val="005C485A"/>
    <w:rsid w:val="007F0AEF"/>
    <w:rsid w:val="00F5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11D7D"/>
  <w15:chartTrackingRefBased/>
  <w15:docId w15:val="{577F38EF-A2F8-4AC1-A2FB-077F5623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scriptbody">
    <w:name w:val="Manuscript body"/>
    <w:basedOn w:val="NormalWeb"/>
    <w:link w:val="ManuscriptbodyChar"/>
    <w:qFormat/>
    <w:rsid w:val="00F52A2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00" w:afterAutospacing="1" w:line="360" w:lineRule="auto"/>
    </w:pPr>
    <w:rPr>
      <w:rFonts w:ascii="Tahoma" w:eastAsia="Times New Roman" w:hAnsi="Tahoma"/>
      <w:sz w:val="22"/>
      <w:lang w:val="de-DE" w:eastAsia="ja-JP"/>
    </w:rPr>
  </w:style>
  <w:style w:type="character" w:customStyle="1" w:styleId="ManuscriptbodyChar">
    <w:name w:val="Manuscript body Char"/>
    <w:basedOn w:val="DefaultParagraphFont"/>
    <w:link w:val="Manuscriptbody"/>
    <w:rsid w:val="00F52A22"/>
    <w:rPr>
      <w:rFonts w:ascii="Tahoma" w:eastAsia="Times New Roman" w:hAnsi="Tahoma" w:cs="Times New Roman"/>
      <w:szCs w:val="24"/>
      <w:lang w:val="de-DE" w:eastAsia="ja-JP"/>
    </w:rPr>
  </w:style>
  <w:style w:type="paragraph" w:styleId="NormalWeb">
    <w:name w:val="Normal (Web)"/>
    <w:basedOn w:val="Normal"/>
    <w:uiPriority w:val="99"/>
    <w:semiHidden/>
    <w:unhideWhenUsed/>
    <w:rsid w:val="00F52A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Sirah Bah</dc:creator>
  <cp:keywords/>
  <dc:description/>
  <cp:lastModifiedBy>Kerris Chappell</cp:lastModifiedBy>
  <cp:revision>2</cp:revision>
  <dcterms:created xsi:type="dcterms:W3CDTF">2022-08-09T13:58:00Z</dcterms:created>
  <dcterms:modified xsi:type="dcterms:W3CDTF">2022-08-10T15:07:00Z</dcterms:modified>
</cp:coreProperties>
</file>