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A9CE2" w14:textId="5CB7B4DB" w:rsidR="000D3A21" w:rsidRPr="00DC145E" w:rsidRDefault="00376E8C" w:rsidP="00341DDF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Additional file</w:t>
      </w:r>
    </w:p>
    <w:p w14:paraId="7DBF8816" w14:textId="6C59956E" w:rsidR="000D3A21" w:rsidRPr="00DC145E" w:rsidRDefault="006040DE" w:rsidP="005B033E">
      <w:pPr>
        <w:spacing w:after="12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 of the </w:t>
      </w:r>
      <w:r w:rsidR="007B650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boy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7B650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girl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samples for the chain mediation model</w:t>
      </w:r>
    </w:p>
    <w:p w14:paraId="05BEA4C6" w14:textId="2BC54A4A" w:rsidR="00AF3DEC" w:rsidRPr="00DC145E" w:rsidRDefault="004E266C" w:rsidP="005B033E">
      <w:pPr>
        <w:spacing w:after="120" w:line="480" w:lineRule="auto"/>
        <w:ind w:firstLineChars="15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 </w:t>
      </w:r>
      <w:r w:rsidR="007B6507"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sex 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difference comparison of the participants' variables is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in Table 1. The prevalence of NSSI in girls was significantly higher than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that in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boys (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χ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=8.38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P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=0.004). The boys scored lower than </w:t>
      </w:r>
      <w:r w:rsidR="002C359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girls on the EA subscale (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-2.45, </w:t>
      </w:r>
      <w:r w:rsidR="00E83F51"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=0.015), the EN subscale (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-2.64, 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=0.009), and the PN subscale (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5B033E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-2.03, 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=0.043) but not the DERS</w:t>
      </w:r>
      <w:bookmarkStart w:id="0" w:name="_Hlk116491085"/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83F51"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0.05) </w:t>
      </w:r>
      <w:bookmarkEnd w:id="0"/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and PHQ-9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83F51"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E83F5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&gt; 0.05)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47AE6D" w14:textId="0CA40BD5" w:rsidR="00FE6B84" w:rsidRPr="00DC145E" w:rsidRDefault="00BE663C" w:rsidP="005B033E">
      <w:pPr>
        <w:spacing w:after="120" w:line="480" w:lineRule="auto"/>
        <w:ind w:firstLineChars="15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further examine differences between the </w:t>
      </w:r>
      <w:r w:rsidR="004A095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boy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A095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girl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samples, tests of invariance were conducted according to tests described by Byrne </w: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NE.Ref.{B70965B1-20C6-4EBE-96FE-86591C32F7C0}</w:instrTex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. To test for configural invariance</w:t>
      </w:r>
      <w:r w:rsidR="008A0C7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whether </w:t>
      </w:r>
      <w:r w:rsidR="008D543B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8115A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sexes </w:t>
      </w:r>
      <w:r w:rsidR="008A0C7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across samples, the same model was applied to the combined data for boys and girls. </w:t>
      </w:r>
      <w:r w:rsidR="00CA6A53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An a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cceptable model fit was found for the combined configural model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: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χ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(52, n=224) =78.1, χ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/df =1.50, NFI=0.863, CFI=0.948, </w:t>
      </w:r>
      <w:r w:rsidR="0063660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RMSEA= 0.048. The chi</w:t>
      </w:r>
      <w:r w:rsidR="001E2E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square difference test</w:t>
      </w:r>
      <w:r w:rsidR="00AC402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showed the following: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Δχ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374C2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D26C2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13) =</w:t>
      </w:r>
      <w:r w:rsidR="000374C2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31.76,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</w: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=0.03. As another alternative to the chi-square difference test, Byrne </w: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NE.Ref.{D1880A55-05E0-4AF4-8F18-21C5151B7BED}</w:instrTex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="00E80CCA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suggests comparing CFI values. The difference in the CFI statistics (0.948 vs. 0.910) </w:t>
      </w:r>
      <w:r w:rsidR="00D14153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exceeded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the value of 0.01 set as evidence for invariance by Cheung and Rensvold</w:t>
      </w:r>
      <w:r w:rsidR="00B350C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NE.Ref.{63BCC225-20C3-4969-B85B-ECCA1C26F22D}</w:instrText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75770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Thus, based on the chi-square difference test and the test of differences in </w:t>
      </w:r>
      <w:r w:rsidR="00D14153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CFI, we concluded that the </w:t>
      </w:r>
      <w:r w:rsidR="00D14153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 was not invariant in our samples. 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The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hypothesized chain mediation model was identified and provided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good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fit</w:t>
      </w:r>
      <w:r w:rsidR="000374C2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girl sample (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χ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7C30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n=176) =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29.366,</w:t>
      </w:r>
      <w:r w:rsidR="007574C9"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=0.0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CFI=0.9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TLI=0.93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and RMSEA=0.06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9), which was consistent with that for the entire sample (</w:t>
      </w:r>
      <w:r w:rsidR="007574C9"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Table 2 and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20269965"/>
      <w:r w:rsidR="007574C9"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Figure </w:t>
      </w:r>
      <w:bookmarkEnd w:id="1"/>
      <w:r w:rsidR="00D934CF"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7574C9"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 w:rsidRPr="00DC145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 However,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boy</w:t>
      </w:r>
      <w:r w:rsidR="00A616A8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a poor model fit (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χ</w:t>
      </w:r>
      <w:r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E02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n=</w:t>
      </w:r>
      <w:r w:rsidR="007574C9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48) =</w:t>
      </w:r>
      <w:r w:rsidR="00BE02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20.201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0CCA" w:rsidRPr="00DC14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=0.</w:t>
      </w:r>
      <w:r w:rsidR="00BE02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211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CFI=0.9</w:t>
      </w:r>
      <w:r w:rsidR="00BE02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TLI=0.</w:t>
      </w:r>
      <w:r w:rsidR="00BE02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947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and RMSEA=0.</w:t>
      </w:r>
      <w:r w:rsidR="00BE021D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075</w:t>
      </w:r>
      <w:r w:rsidR="00A36481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), and the hypothesized chain mediation model wasn’t identified (Figure</w:t>
      </w:r>
      <w:r w:rsidR="00701B4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4CF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1B4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52CBCE" w14:textId="0D7DAE12" w:rsidR="007C4B47" w:rsidRPr="00DC145E" w:rsidRDefault="00BE663C" w:rsidP="00341DDF">
      <w:pPr>
        <w:spacing w:after="0" w:line="48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</w:pPr>
      <w:r w:rsidRPr="00DC145E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S</w:t>
      </w:r>
      <w:r w:rsidRPr="00DC145E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1</w:t>
      </w:r>
      <w:r w:rsidR="00376E8C">
        <w:rPr>
          <w:rFonts w:ascii="Times New Roman" w:eastAsia="SimSun" w:hAnsi="Times New Roman" w:cs="Times New Roman"/>
          <w:b/>
          <w:bCs/>
          <w:snapToGrid w:val="0"/>
          <w:color w:val="000000" w:themeColor="text1"/>
          <w:sz w:val="24"/>
          <w:szCs w:val="24"/>
          <w:lang w:bidi="en-US"/>
        </w:rPr>
        <w:t>.</w:t>
      </w:r>
      <w:r w:rsidRPr="00DC14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  <w:t xml:space="preserve"> Comparison of variables between boys and girls.</w:t>
      </w:r>
    </w:p>
    <w:tbl>
      <w:tblPr>
        <w:tblW w:w="8380" w:type="dxa"/>
        <w:tblInd w:w="108" w:type="dxa"/>
        <w:tblLook w:val="04A0" w:firstRow="1" w:lastRow="0" w:firstColumn="1" w:lastColumn="0" w:noHBand="0" w:noVBand="1"/>
      </w:tblPr>
      <w:tblGrid>
        <w:gridCol w:w="2960"/>
        <w:gridCol w:w="1576"/>
        <w:gridCol w:w="1840"/>
        <w:gridCol w:w="1080"/>
        <w:gridCol w:w="1080"/>
      </w:tblGrid>
      <w:tr w:rsidR="00DC145E" w:rsidRPr="00DC145E" w14:paraId="58F89DF0" w14:textId="77777777" w:rsidTr="007C4B47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5E10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76D25" w14:textId="6FBF531D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boy</w:t>
            </w:r>
            <w:r w:rsidR="00054807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(n=48)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FC69" w14:textId="5E629B6E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girl</w:t>
            </w:r>
            <w:r w:rsidR="00054807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(n=176)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0510" w14:textId="270F85B5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="009C113C"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9C113C" w:rsidRPr="00DC145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χ</w:t>
            </w:r>
            <w:r w:rsidR="009C113C" w:rsidRPr="00DC145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0424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DC145E" w:rsidRPr="00DC145E" w14:paraId="06E0461A" w14:textId="77777777" w:rsidTr="007C4B4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741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 (years)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500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15.73(1.36)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96A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15.18(1.92)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E3B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FEC2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0.066</w:t>
            </w:r>
          </w:p>
        </w:tc>
      </w:tr>
      <w:tr w:rsidR="00DC145E" w:rsidRPr="00DC145E" w14:paraId="667B2DD6" w14:textId="77777777" w:rsidTr="007C4B4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D07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E7B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116.15(20.73)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E9B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120.16(23.18)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372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DCA9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0.278</w:t>
            </w:r>
          </w:p>
        </w:tc>
      </w:tr>
      <w:tr w:rsidR="00DC145E" w:rsidRPr="00DC145E" w14:paraId="55CFA994" w14:textId="77777777" w:rsidTr="007C4B47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60E8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Childhood Maltreatment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8EB" w14:textId="77777777" w:rsidR="007C4B47" w:rsidRPr="00DC145E" w:rsidRDefault="007C4B47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189" w14:textId="77777777" w:rsidR="007C4B47" w:rsidRPr="00DC145E" w:rsidRDefault="007C4B47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728" w14:textId="77777777" w:rsidR="007C4B47" w:rsidRPr="00DC145E" w:rsidRDefault="007C4B47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40D3" w14:textId="77777777" w:rsidR="007C4B47" w:rsidRPr="00DC145E" w:rsidRDefault="007C4B47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45E" w:rsidRPr="00DC145E" w14:paraId="559D77B4" w14:textId="77777777" w:rsidTr="007C4B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852F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EA,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D8F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11.19(5.6)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EDB6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13.24(5.02)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536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724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</w:tr>
      <w:tr w:rsidR="00DC145E" w:rsidRPr="00DC145E" w14:paraId="78A8AF85" w14:textId="77777777" w:rsidTr="007C4B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1653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PA,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124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7.65(3.74)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464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7.93(3.61)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0A6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5B7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0.636</w:t>
            </w:r>
          </w:p>
        </w:tc>
      </w:tr>
      <w:tr w:rsidR="00DC145E" w:rsidRPr="00DC145E" w14:paraId="4AC44E45" w14:textId="77777777" w:rsidTr="007C4B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6CD6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SA,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40C2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5.73(2.08)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56B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6.22(2.83)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D00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7AE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0.267</w:t>
            </w:r>
          </w:p>
        </w:tc>
      </w:tr>
      <w:tr w:rsidR="00DC145E" w:rsidRPr="00DC145E" w14:paraId="2603EE56" w14:textId="77777777" w:rsidTr="007C4B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81A9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EN,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D02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12.77(5.55)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CAF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15.1(5.38)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FF1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-2.64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645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0.009</w:t>
            </w:r>
          </w:p>
        </w:tc>
      </w:tr>
      <w:tr w:rsidR="00DC145E" w:rsidRPr="00DC145E" w14:paraId="58BCEF14" w14:textId="77777777" w:rsidTr="007C4B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2A16" w14:textId="77777777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PN,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DD3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8.54(4.2)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6A1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9.91(4.14)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A6C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558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</w:tr>
      <w:tr w:rsidR="00DC145E" w:rsidRPr="00DC145E" w14:paraId="6EDBF0ED" w14:textId="77777777" w:rsidTr="000127D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ABD90" w14:textId="76947D2C" w:rsidR="00207E79" w:rsidRPr="00DC145E" w:rsidRDefault="00BE663C" w:rsidP="00207E79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EA,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n (%)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F1D7" w14:textId="4B78A700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14(29.2%)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8853F" w14:textId="6EAB8091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89(50.6%)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C87F1" w14:textId="52865EC8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82262" w14:textId="1D4E00FE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DC145E" w:rsidRPr="00DC145E" w14:paraId="72FB9252" w14:textId="77777777" w:rsidTr="000127D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30E5D" w14:textId="3992E7A3" w:rsidR="00207E79" w:rsidRPr="00DC145E" w:rsidRDefault="00BE663C" w:rsidP="00207E79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PA,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AEDA3" w14:textId="5488D01D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11(22.9%)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B569D" w14:textId="1FA4B916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41(23.3%)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69B0E" w14:textId="0D5D3E96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72FA5" w14:textId="4D36BFCE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0.956</w:t>
            </w:r>
          </w:p>
        </w:tc>
      </w:tr>
      <w:tr w:rsidR="00DC145E" w:rsidRPr="00DC145E" w14:paraId="26145766" w14:textId="77777777" w:rsidTr="000127D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D5FC" w14:textId="53CD2C5C" w:rsidR="00207E79" w:rsidRPr="00DC145E" w:rsidRDefault="00BE663C" w:rsidP="00207E79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SA,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DE703" w14:textId="48692E55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4(8.3%)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415FE" w14:textId="06234D52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24(13.6%)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C51B9" w14:textId="07EF0C81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7CC46" w14:textId="7EAAF077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0.325</w:t>
            </w:r>
          </w:p>
        </w:tc>
      </w:tr>
      <w:tr w:rsidR="00DC145E" w:rsidRPr="00DC145E" w14:paraId="09E96ACE" w14:textId="77777777" w:rsidTr="000127D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E615" w14:textId="372C5677" w:rsidR="00207E79" w:rsidRPr="00DC145E" w:rsidRDefault="00BE663C" w:rsidP="00207E79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EN,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D9974" w14:textId="7ED7FCD0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14(29.2%)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4F1A6" w14:textId="3F0AB3DE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94(53.4%)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7468B" w14:textId="631CDC65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A2925" w14:textId="47DBE752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DC145E" w:rsidRPr="00DC145E" w14:paraId="36AF3ECF" w14:textId="77777777" w:rsidTr="000127D5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6C42" w14:textId="4E6CB5BB" w:rsidR="00207E79" w:rsidRPr="00DC145E" w:rsidRDefault="00BE663C" w:rsidP="00207E79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PN, 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BEFB4" w14:textId="5A4611C6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14(29.2%)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78A0E" w14:textId="4D24C2BA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83(47.2%)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827BC" w14:textId="2F52CA6B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93050" w14:textId="7A317542" w:rsidR="00207E79" w:rsidRPr="00DC145E" w:rsidRDefault="00BE663C" w:rsidP="00207E79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</w:tr>
      <w:tr w:rsidR="00DC145E" w:rsidRPr="00DC145E" w14:paraId="2E37EF44" w14:textId="77777777" w:rsidTr="007D635F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B17F" w14:textId="48ADAE62" w:rsidR="007C4B47" w:rsidRPr="00DC145E" w:rsidRDefault="00BE663C" w:rsidP="007C4B4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Depression (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PHQ-9), Mean (SD)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502B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17.53(5.46)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534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18.55(5.44)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EBA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050" w14:textId="77777777" w:rsidR="007C4B47" w:rsidRPr="00DC145E" w:rsidRDefault="00BE663C" w:rsidP="007C4B47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0.249</w:t>
            </w:r>
          </w:p>
        </w:tc>
      </w:tr>
      <w:tr w:rsidR="00DC145E" w:rsidRPr="00DC145E" w14:paraId="67F035CE" w14:textId="77777777" w:rsidTr="009C113C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8263EF" w14:textId="0EE2570B" w:rsidR="007D635F" w:rsidRPr="00DC145E" w:rsidRDefault="00F90330" w:rsidP="007D635F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NSSI (CRSNSSI)*</w:t>
            </w:r>
            <w:r w:rsidR="009C113C"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/n (%)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08E41" w14:textId="0F914994" w:rsidR="007D635F" w:rsidRPr="00DC145E" w:rsidRDefault="00BE663C" w:rsidP="007D635F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13(27.1%)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E49EE" w14:textId="53C07D78" w:rsidR="007D635F" w:rsidRPr="00DC145E" w:rsidRDefault="00BE663C" w:rsidP="007D635F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90(51.1%)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6DBBF" w14:textId="121756DD" w:rsidR="007D635F" w:rsidRPr="00DC145E" w:rsidRDefault="00BE663C" w:rsidP="007D635F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8EF47" w14:textId="1B3B38F3" w:rsidR="007D635F" w:rsidRPr="00DC145E" w:rsidRDefault="00BE663C" w:rsidP="007D635F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</w:tbl>
    <w:p w14:paraId="63CA5472" w14:textId="01012C0F" w:rsidR="007D635F" w:rsidRPr="00DC145E" w:rsidRDefault="00BE663C" w:rsidP="007D635F">
      <w:pPr>
        <w:pStyle w:val="MDPI41tablecaption"/>
        <w:spacing w:line="480" w:lineRule="auto"/>
        <w:ind w:left="0"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07530237"/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DERS: Difficulties in Emotion Regulation Scale, PA: physical abuse, PN: physical neglect, EA: emotional abuse, EN: emotional neglect, SA: sexual abuse, </w:t>
      </w:r>
      <w:r w:rsidRPr="00DC145E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CRSNSSI: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45E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Clinician-Rated Severity of NonSuicidal Self-Injury</w:t>
      </w:r>
      <w:r w:rsidR="00F90330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, *:</w:t>
      </w:r>
      <w:r w:rsidR="006C147B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number that meets </w:t>
      </w:r>
      <w:r w:rsidR="00054807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90330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DSM-5 diagnostic criteria for NSSI</w:t>
      </w:r>
    </w:p>
    <w:p w14:paraId="07009E2E" w14:textId="62B3D0D6" w:rsidR="00215EA3" w:rsidRPr="00DC145E" w:rsidRDefault="00BE663C" w:rsidP="0059316D">
      <w:pPr>
        <w:spacing w:after="0" w:line="48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</w:pPr>
      <w:bookmarkStart w:id="3" w:name="_Hlk116485261"/>
      <w:bookmarkStart w:id="4" w:name="_Hlk116489633"/>
      <w:bookmarkEnd w:id="2"/>
      <w:r w:rsidRPr="00DC145E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S</w:t>
      </w:r>
      <w:r w:rsidRPr="00DC145E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2</w:t>
      </w:r>
      <w:bookmarkEnd w:id="3"/>
      <w:r w:rsidR="00376E8C">
        <w:rPr>
          <w:rFonts w:ascii="Times New Roman" w:eastAsia="SimSun" w:hAnsi="Times New Roman" w:cs="Times New Roman"/>
          <w:b/>
          <w:bCs/>
          <w:snapToGrid w:val="0"/>
          <w:color w:val="000000" w:themeColor="text1"/>
          <w:sz w:val="24"/>
          <w:szCs w:val="24"/>
          <w:lang w:bidi="en-US"/>
        </w:rPr>
        <w:t>.</w:t>
      </w:r>
      <w:r w:rsidRPr="00DC14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  <w:t xml:space="preserve"> Direct effects </w:t>
      </w:r>
      <w:r w:rsidR="0064582E" w:rsidRPr="00DC14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  <w:t xml:space="preserve">in the pathway </w:t>
      </w:r>
      <w:r w:rsidRPr="00DC14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  <w:t>from CM to NSSI and indirect effects through DER and depression for girls.</w:t>
      </w:r>
    </w:p>
    <w:tbl>
      <w:tblPr>
        <w:tblW w:w="8095" w:type="dxa"/>
        <w:tblInd w:w="108" w:type="dxa"/>
        <w:tblLook w:val="04A0" w:firstRow="1" w:lastRow="0" w:firstColumn="1" w:lastColumn="0" w:noHBand="0" w:noVBand="1"/>
      </w:tblPr>
      <w:tblGrid>
        <w:gridCol w:w="2986"/>
        <w:gridCol w:w="1277"/>
        <w:gridCol w:w="1303"/>
        <w:gridCol w:w="1252"/>
        <w:gridCol w:w="1277"/>
      </w:tblGrid>
      <w:tr w:rsidR="00DC145E" w:rsidRPr="00DC145E" w14:paraId="6138A65F" w14:textId="77777777" w:rsidTr="00215EA3">
        <w:trPr>
          <w:trHeight w:val="300"/>
        </w:trPr>
        <w:tc>
          <w:tcPr>
            <w:tcW w:w="2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4"/>
          <w:p w14:paraId="710BB5ED" w14:textId="77777777" w:rsidR="00215EA3" w:rsidRPr="00DC145E" w:rsidRDefault="00BE663C" w:rsidP="00215EA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Path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44B3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Effect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6DC2" w14:textId="77777777" w:rsidR="00215EA3" w:rsidRPr="00DC145E" w:rsidRDefault="00BE663C" w:rsidP="00215EA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BC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95%</w:t>
            </w: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CI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6013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DC145E" w:rsidRPr="00DC145E" w14:paraId="1A13390D" w14:textId="77777777" w:rsidTr="00A36481">
        <w:trPr>
          <w:trHeight w:val="300"/>
        </w:trPr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72D0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6967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9E70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Lower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F8A5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Upper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9021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C145E" w:rsidRPr="00DC145E" w14:paraId="6D73FF2A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7353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Direct effect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1B8E" w14:textId="5E85C27B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FFB7" w14:textId="3F22998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-0.1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BCE2" w14:textId="5E301130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2D27" w14:textId="36966D95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DC145E" w:rsidRPr="00DC145E" w14:paraId="7E552308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F1D6" w14:textId="7C40BFC8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r w:rsidR="00C073E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ndirect effect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0B9" w14:textId="6EB478D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0.27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829A" w14:textId="43E5E90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0.14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2D08" w14:textId="1015DA34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52A4" w14:textId="13C57515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DC145E" w:rsidRPr="00DC145E" w14:paraId="14F8E66C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F8B9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Mediating effect of DER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8CC7" w14:textId="15184954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7148" w14:textId="294B76A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0.07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9979" w14:textId="5A6DBB3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0EA" w14:textId="538D9B55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DC145E" w:rsidRPr="00DC145E" w14:paraId="1980606E" w14:textId="77777777" w:rsidTr="00A36481">
        <w:trPr>
          <w:trHeight w:val="312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88EA" w14:textId="5B0A587C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Mediating effect of </w:t>
            </w:r>
            <w:r w:rsidR="00C073E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epression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3E05" w14:textId="6754C10F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0.05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0475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0A5" w14:textId="4682574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4979" w14:textId="0E35574A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DC145E" w:rsidRPr="00DC145E" w14:paraId="5C4969A5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1BA6" w14:textId="149CB86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RANGE!E45"/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Chain mediating effect</w:t>
            </w:r>
            <w:bookmarkEnd w:id="5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9848" w14:textId="1F534B7A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C810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F9B6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42B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0.029</w:t>
            </w:r>
          </w:p>
        </w:tc>
      </w:tr>
      <w:tr w:rsidR="00DC145E" w:rsidRPr="00DC145E" w14:paraId="7247378A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AE2" w14:textId="0BDAE023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RANGE!E46"/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Total effect</w:t>
            </w:r>
            <w:bookmarkEnd w:id="6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1EB6" w14:textId="4BDBF86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0.3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DED8" w14:textId="306B9076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D2F" w14:textId="5D9A0AD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0.6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304F" w14:textId="3D7D12B6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145E" w:rsidRPr="00DC145E" w14:paraId="30372253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9841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B77A" w14:textId="1403A168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9032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B5F1" w14:textId="240B288D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A7FA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DC145E" w:rsidRPr="00DC145E" w14:paraId="56B17E5B" w14:textId="77777777" w:rsidTr="00A36481">
        <w:trPr>
          <w:trHeight w:val="28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9169" w14:textId="29E06033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RANGE!E48"/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R2</w:t>
            </w:r>
            <w:bookmarkEnd w:id="7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3905" w14:textId="3038C3E2" w:rsidR="00215EA3" w:rsidRPr="00DC145E" w:rsidRDefault="007574C9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49.1%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06C" w14:textId="6763632E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2D47" w14:textId="7407C9A3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BF8E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DC145E" w:rsidRPr="00DC145E" w14:paraId="17E86254" w14:textId="77777777" w:rsidTr="00A36481">
        <w:trPr>
          <w:trHeight w:val="300"/>
        </w:trPr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45BE" w14:textId="7777777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7E51" w14:textId="2A183987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994D" w14:textId="546D1E79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21CD" w14:textId="0EF84932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7574C9"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7C6E" w14:textId="3EE6EDFA" w:rsidR="00215EA3" w:rsidRPr="00DC145E" w:rsidRDefault="00BE663C" w:rsidP="00215EA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DC145E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0.040</w:t>
            </w:r>
          </w:p>
        </w:tc>
      </w:tr>
    </w:tbl>
    <w:p w14:paraId="5090521B" w14:textId="279EEF11" w:rsidR="00A36481" w:rsidRPr="00DC145E" w:rsidRDefault="00A36481" w:rsidP="00A36481">
      <w:pPr>
        <w:spacing w:after="0" w:line="48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</w:pPr>
      <w:r w:rsidRPr="00DC14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  <w:t xml:space="preserve">  R1: Chain mediating effect/Total effect; R2: Mediating effect of DER/Total effect; R3: Mediating effect of Depression/Total effect</w:t>
      </w:r>
    </w:p>
    <w:p w14:paraId="17462815" w14:textId="2EB217E1" w:rsidR="00B25D8E" w:rsidRPr="00DC145E" w:rsidRDefault="00B25D8E" w:rsidP="00A36481">
      <w:pPr>
        <w:spacing w:after="0" w:line="48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</w:pPr>
    </w:p>
    <w:p w14:paraId="014ADE6C" w14:textId="79ACBC79" w:rsidR="00D934CF" w:rsidRPr="00DC145E" w:rsidRDefault="00D934CF" w:rsidP="00D934CF">
      <w:pPr>
        <w:spacing w:after="0" w:line="48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</w:pPr>
      <w:r w:rsidRPr="00DC145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71BE8F62" wp14:editId="1E972E6F">
            <wp:extent cx="3801745" cy="1569272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7" cy="15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E89BF" w14:textId="0DE780CE" w:rsidR="00D934CF" w:rsidRPr="00DC145E" w:rsidRDefault="00D934CF" w:rsidP="00A36481">
      <w:pPr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</w:pPr>
      <w:r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 xml:space="preserve">Figure </w:t>
      </w:r>
      <w:r w:rsidR="00BE663C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S</w:t>
      </w:r>
      <w:r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>1.</w:t>
      </w:r>
      <w:r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 xml:space="preserve"> Path analysis on the hypothesized mediation model.</w:t>
      </w:r>
    </w:p>
    <w:p w14:paraId="3367ED19" w14:textId="77777777" w:rsidR="005E3424" w:rsidRPr="00DC145E" w:rsidRDefault="00B25D8E" w:rsidP="005E342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</w:pPr>
      <w:r w:rsidRPr="00DC145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2C31B0FB" wp14:editId="521B5A9E">
            <wp:extent cx="4630420" cy="201884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86" cy="20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Hlk120269401"/>
      <w:bookmarkStart w:id="9" w:name="_Hlk91233092"/>
      <w:bookmarkStart w:id="10" w:name="_Hlk98101874"/>
    </w:p>
    <w:p w14:paraId="36847511" w14:textId="6BCA57EB" w:rsidR="00701B47" w:rsidRPr="00DC145E" w:rsidRDefault="005E3424" w:rsidP="005E342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</w:pPr>
      <w:bookmarkStart w:id="11" w:name="_Hlk122300250"/>
      <w:r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 xml:space="preserve"> </w:t>
      </w:r>
      <w:r w:rsidR="0059316D"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 xml:space="preserve">Figure </w:t>
      </w:r>
      <w:r w:rsidR="00BE663C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S</w:t>
      </w:r>
      <w:r w:rsidR="00D934CF"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>2</w:t>
      </w:r>
      <w:r w:rsidR="0059316D"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 xml:space="preserve">. </w:t>
      </w:r>
      <w:bookmarkEnd w:id="8"/>
      <w:r w:rsidR="0059316D"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>Results from path analysis on the hypothesized mediation model</w:t>
      </w:r>
      <w:r w:rsidR="000B2DF9"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 xml:space="preserve"> for girls.</w:t>
      </w:r>
      <w:r w:rsidR="0059316D"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 xml:space="preserve"> </w:t>
      </w:r>
      <w:bookmarkEnd w:id="11"/>
      <w:r w:rsidR="0059316D"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>Pathways between variables are indicated by standardized beta estimates.</w:t>
      </w:r>
      <w:bookmarkEnd w:id="9"/>
      <w:r w:rsidR="0059316D"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 xml:space="preserve"> * </w:t>
      </w:r>
      <w:r w:rsidR="00B25D8E" w:rsidRPr="00DC14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 w:bidi="en-US"/>
        </w:rPr>
        <w:t>P</w:t>
      </w:r>
      <w:r w:rsidR="0059316D"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 &lt; 0.05, ** </w:t>
      </w:r>
      <w:r w:rsidR="00B25D8E" w:rsidRPr="00DC14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 w:bidi="en-US"/>
        </w:rPr>
        <w:t xml:space="preserve">P </w:t>
      </w:r>
      <w:r w:rsidR="0059316D"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&lt; 0.01, *** </w:t>
      </w:r>
      <w:r w:rsidR="00B25D8E" w:rsidRPr="00DC14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 w:bidi="en-US"/>
        </w:rPr>
        <w:t>P</w:t>
      </w:r>
      <w:r w:rsidR="0059316D"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 &lt; 0.001. DER: difficulty in emotion regulation, PA: physical abuse, PN: physical neglect, EA: emotional abuse, EN: emotional neglect, SA: sexual abuse, NSSI: nonsuicidal self-injury.</w:t>
      </w:r>
      <w:bookmarkEnd w:id="10"/>
    </w:p>
    <w:p w14:paraId="142ED822" w14:textId="27CFA6E0" w:rsidR="00B25D8E" w:rsidRPr="00DC145E" w:rsidRDefault="00B25D8E" w:rsidP="00DF67EB">
      <w:pPr>
        <w:adjustRightInd w:val="0"/>
        <w:snapToGrid w:val="0"/>
        <w:spacing w:before="240" w:after="120" w:line="480" w:lineRule="auto"/>
        <w:ind w:firstLineChars="150"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</w:pPr>
      <w:r w:rsidRPr="00DC145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6327E76C" wp14:editId="5F55E8DE">
            <wp:extent cx="4657165" cy="2085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32" cy="20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B570" w14:textId="1F88677B" w:rsidR="0075770C" w:rsidRPr="00DC145E" w:rsidRDefault="00701B47" w:rsidP="005E3424">
      <w:pPr>
        <w:adjustRightInd w:val="0"/>
        <w:snapToGrid w:val="0"/>
        <w:spacing w:before="240" w:after="12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 xml:space="preserve">Figure </w:t>
      </w:r>
      <w:r w:rsidR="00BE663C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de-DE" w:bidi="en-US"/>
        </w:rPr>
        <w:t>S</w:t>
      </w:r>
      <w:r w:rsidR="00D934CF"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>3</w:t>
      </w:r>
      <w:r w:rsidRPr="00DC14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 w:bidi="en-US"/>
        </w:rPr>
        <w:t xml:space="preserve">. </w:t>
      </w:r>
      <w:r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>Results from path analysis on the hypothesized mediatio</w:t>
      </w:r>
      <w:bookmarkStart w:id="12" w:name="_GoBack"/>
      <w:bookmarkEnd w:id="12"/>
      <w:r w:rsidRPr="00DC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 w:bidi="en-US"/>
        </w:rPr>
        <w:t>n model for boys. Pathways between variables are indicated by standardized beta estimates.</w:t>
      </w:r>
      <w:r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 xml:space="preserve"> * </w:t>
      </w:r>
      <w:r w:rsidR="00B25D8E" w:rsidRPr="00DC14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 w:bidi="en-US"/>
        </w:rPr>
        <w:t xml:space="preserve">P </w:t>
      </w:r>
      <w:r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&lt; 0.05, **</w:t>
      </w:r>
      <w:r w:rsidR="00B25D8E" w:rsidRPr="00DC14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 w:bidi="en-US"/>
        </w:rPr>
        <w:t xml:space="preserve">P </w:t>
      </w:r>
      <w:r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&lt; 0.01, *** </w:t>
      </w:r>
      <w:r w:rsidR="00B25D8E" w:rsidRPr="00DC145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 w:bidi="en-US"/>
        </w:rPr>
        <w:t xml:space="preserve">P </w:t>
      </w:r>
      <w:r w:rsidR="00B25D8E"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>&lt;</w:t>
      </w:r>
      <w:r w:rsidRPr="00DC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en-US"/>
        </w:rPr>
        <w:t xml:space="preserve"> 0.001. DER: difficulty in emotion regulation, PA: physical abuse, PN: physical neglect, EA: emotional abuse, EN: emotional neglect, SA: sexual abuse, NSSI: nonsuicidal self-injury.</w:t>
      </w:r>
      <w:r w:rsidR="00BE663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NE.Bib</w:instrText>
      </w:r>
      <w:r w:rsidR="00BE663C"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14:paraId="20D55A8A" w14:textId="77777777" w:rsidR="0075770C" w:rsidRPr="00DC145E" w:rsidRDefault="00BE663C" w:rsidP="00757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33FF133C" w14:textId="79A850B4" w:rsidR="0075770C" w:rsidRPr="00DC145E" w:rsidRDefault="00BE663C" w:rsidP="0075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3" w:name="_neb6E65F119_2390_4438_AEDD_8BB7D71055D4"/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Byrne BM. Structural equation modeling with AMOS. New York, NY: Routledge, 2010.</w:t>
      </w:r>
      <w:bookmarkEnd w:id="13"/>
    </w:p>
    <w:p w14:paraId="23A8D18A" w14:textId="0772EB8F" w:rsidR="0083756F" w:rsidRPr="00DC145E" w:rsidRDefault="00BE663C" w:rsidP="0083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4" w:name="_neb4A5A5632_7B9F_43B1_A415_8F5DB7E1C47D"/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t>Cheung GW, Rensvold RB. Evaluating Goodness-of-Fit Indexes for Testing Measurement Invariance, Structural equation modeling 2002;9:233-255.</w:t>
      </w:r>
      <w:bookmarkEnd w:id="14"/>
      <w:r w:rsidRPr="00DC14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2757D8A" w14:textId="096D9140" w:rsidR="00215EA3" w:rsidRPr="00DC145E" w:rsidRDefault="00215EA3" w:rsidP="004E26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5EA3" w:rsidRPr="00DC145E" w:rsidSect="00DC145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65DD8" w14:textId="77777777" w:rsidR="002E0CEA" w:rsidRDefault="002E0CEA" w:rsidP="00341DDF">
      <w:pPr>
        <w:spacing w:after="0" w:line="240" w:lineRule="auto"/>
      </w:pPr>
      <w:r>
        <w:separator/>
      </w:r>
    </w:p>
  </w:endnote>
  <w:endnote w:type="continuationSeparator" w:id="0">
    <w:p w14:paraId="6B511B27" w14:textId="77777777" w:rsidR="002E0CEA" w:rsidRDefault="002E0CEA" w:rsidP="0034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50F3" w14:textId="77777777" w:rsidR="002E0CEA" w:rsidRDefault="002E0CEA" w:rsidP="00341DDF">
      <w:pPr>
        <w:spacing w:after="0" w:line="240" w:lineRule="auto"/>
      </w:pPr>
      <w:r>
        <w:separator/>
      </w:r>
    </w:p>
  </w:footnote>
  <w:footnote w:type="continuationSeparator" w:id="0">
    <w:p w14:paraId="064FB34C" w14:textId="77777777" w:rsidR="002E0CEA" w:rsidRDefault="002E0CEA" w:rsidP="0034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8071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C0F7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227D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4889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FE4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E2E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04D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7E50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C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8E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47F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A130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232E1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63BCC225-20C3-4969-B85B-ECCA1C26F22D}" w:val=" ADDIN NE.Ref.{63BCC225-20C3-4969-B85B-ECCA1C26F22D}&lt;Citation&gt;&lt;Group&gt;&lt;References&gt;&lt;Item&gt;&lt;ID&gt;1574&lt;/ID&gt;&lt;UID&gt;{4A5A5632-7B9F-43B1-A415-8F5DB7E1C47D}&lt;/UID&gt;&lt;Title&gt;Evaluating Goodness-of-Fit Indexes for Testing Measurement Invariance&lt;/Title&gt;&lt;Template&gt;Journal Article&lt;/Template&gt;&lt;Star&gt;0&lt;/Star&gt;&lt;Tag&gt;0&lt;/Tag&gt;&lt;Author&gt;Cheung, Gordon W; Rensvold, Roger B&lt;/Author&gt;&lt;Year&gt;2002&lt;/Year&gt;&lt;Details&gt;&lt;_accessed&gt;64576375&lt;/_accessed&gt;&lt;_created&gt;64576375&lt;/_created&gt;&lt;_modified&gt;64576375&lt;/_modified&gt;&lt;_url&gt;https://go.exlibris.link/vjtm01PW&lt;/_url&gt;&lt;_journal&gt;Structural equation modeling&lt;/_journal&gt;&lt;_volume&gt;9&lt;/_volume&gt;&lt;_issue&gt;2&lt;/_issue&gt;&lt;_number&gt;1&lt;/_number&gt;&lt;_pages&gt;233-255&lt;/_pages&gt;&lt;_doi&gt;10.1207/S15328007SEM0902_5&lt;/_doi&gt;&lt;_date_display&gt;2002&lt;/_date_display&gt;&lt;_date&gt;53647200&lt;/_date&gt;&lt;_isbn&gt;1070-5511&lt;/_isbn&gt;&lt;_ori_publication&gt;Lawrence Erlbaum Associates, Inc&lt;/_ori_publication&gt;&lt;_keywords&gt;Goodness of Fit; Invariance; Sample Size; Simulation&lt;/_keywords&gt;&lt;_db_updated&gt;PKU Search&lt;/_db_updated&gt;&lt;_impact_factor&gt;   6.125&lt;/_impact_factor&gt;&lt;/Details&gt;&lt;Extra&gt;&lt;DBUID&gt;{281613A2-5D1F-4609-9187-25FEE238AE55}&lt;/DBUID&gt;&lt;/Extra&gt;&lt;/Item&gt;&lt;/References&gt;&lt;/Group&gt;&lt;/Citation&gt;_x000a_"/>
    <w:docVar w:name="NE.Ref{B70965B1-20C6-4EBE-96FE-86591C32F7C0}" w:val=" ADDIN NE.Ref.{B70965B1-20C6-4EBE-96FE-86591C32F7C0}&lt;Citation&gt;&lt;Group&gt;&lt;References&gt;&lt;Item&gt;&lt;ID&gt;1573&lt;/ID&gt;&lt;UID&gt;{6E65F119-2390-4438-AEDD-8BB7D71055D4}&lt;/UID&gt;&lt;Title&gt;Structural equation modeling with AMOS&lt;/Title&gt;&lt;Template&gt;Book&lt;/Template&gt;&lt;Star&gt;0&lt;/Star&gt;&lt;Tag&gt;0&lt;/Tag&gt;&lt;Author&gt;Byrne, B M&lt;/Author&gt;&lt;Year&gt;2010&lt;/Year&gt;&lt;Details&gt;&lt;_place_published&gt;New York, NY&lt;/_place_published&gt;&lt;_edition&gt;2nd ed&lt;/_edition&gt;&lt;_publisher&gt; Routledge&lt;/_publisher&gt;&lt;_accessed&gt;64576371&lt;/_accessed&gt;&lt;_created&gt;64576371&lt;/_created&gt;&lt;_modified&gt;64576371&lt;/_modified&gt;&lt;/Details&gt;&lt;Extra&gt;&lt;DBUID&gt;{281613A2-5D1F-4609-9187-25FEE238AE55}&lt;/DBUID&gt;&lt;/Extra&gt;&lt;/Item&gt;&lt;/References&gt;&lt;/Group&gt;&lt;/Citation&gt;_x000a_"/>
    <w:docVar w:name="NE.Ref{D1880A55-05E0-4AF4-8F18-21C5151B7BED}" w:val=" ADDIN NE.Ref.{D1880A55-05E0-4AF4-8F18-21C5151B7BED}&lt;Citation&gt;&lt;Group&gt;&lt;References&gt;&lt;Item&gt;&lt;ID&gt;1573&lt;/ID&gt;&lt;UID&gt;{6E65F119-2390-4438-AEDD-8BB7D71055D4}&lt;/UID&gt;&lt;Title&gt;Structural equation modeling with AMOS&lt;/Title&gt;&lt;Template&gt;Book&lt;/Template&gt;&lt;Star&gt;0&lt;/Star&gt;&lt;Tag&gt;0&lt;/Tag&gt;&lt;Author&gt;Byrne, B M&lt;/Author&gt;&lt;Year&gt;2010&lt;/Year&gt;&lt;Details&gt;&lt;_place_published&gt;New York, NY&lt;/_place_published&gt;&lt;_edition&gt;2nd ed&lt;/_edition&gt;&lt;_publisher&gt; Routledge&lt;/_publisher&gt;&lt;_accessed&gt;64576371&lt;/_accessed&gt;&lt;_created&gt;64576371&lt;/_created&gt;&lt;_modified&gt;64576371&lt;/_modified&gt;&lt;/Details&gt;&lt;Extra&gt;&lt;DBUID&gt;{281613A2-5D1F-4609-9187-25FEE238AE55}&lt;/DBUID&gt;&lt;/Extra&gt;&lt;/Item&gt;&lt;/References&gt;&lt;/Group&gt;&lt;/Citation&gt;_x000a_"/>
    <w:docVar w:name="ne_docsoft" w:val="MSWord"/>
    <w:docVar w:name="ne_docversion" w:val="NoteExpress 2.0"/>
    <w:docVar w:name="ne_stylename" w:val="Brief Funct Genom Proteom New2"/>
  </w:docVars>
  <w:rsids>
    <w:rsidRoot w:val="004C3B3B"/>
    <w:rsid w:val="00012536"/>
    <w:rsid w:val="000374C2"/>
    <w:rsid w:val="00054807"/>
    <w:rsid w:val="000B2DF9"/>
    <w:rsid w:val="000C56F7"/>
    <w:rsid w:val="000D3A21"/>
    <w:rsid w:val="00112399"/>
    <w:rsid w:val="001179B7"/>
    <w:rsid w:val="001636BD"/>
    <w:rsid w:val="001759F6"/>
    <w:rsid w:val="001D26C2"/>
    <w:rsid w:val="001D5AB1"/>
    <w:rsid w:val="001E2E1D"/>
    <w:rsid w:val="001E6D0F"/>
    <w:rsid w:val="00207E79"/>
    <w:rsid w:val="00215EA3"/>
    <w:rsid w:val="00295D3E"/>
    <w:rsid w:val="002C359D"/>
    <w:rsid w:val="002C35A9"/>
    <w:rsid w:val="002E0CEA"/>
    <w:rsid w:val="002F442C"/>
    <w:rsid w:val="002F5B63"/>
    <w:rsid w:val="0031545E"/>
    <w:rsid w:val="003315DA"/>
    <w:rsid w:val="00341DDF"/>
    <w:rsid w:val="003579B8"/>
    <w:rsid w:val="00357C03"/>
    <w:rsid w:val="00374F44"/>
    <w:rsid w:val="00376E8C"/>
    <w:rsid w:val="004074E8"/>
    <w:rsid w:val="00417C30"/>
    <w:rsid w:val="00451474"/>
    <w:rsid w:val="004653A0"/>
    <w:rsid w:val="004A0957"/>
    <w:rsid w:val="004A3623"/>
    <w:rsid w:val="004C3B3B"/>
    <w:rsid w:val="004E266C"/>
    <w:rsid w:val="005865EE"/>
    <w:rsid w:val="0059316D"/>
    <w:rsid w:val="005B033E"/>
    <w:rsid w:val="005E3424"/>
    <w:rsid w:val="006040DE"/>
    <w:rsid w:val="00636609"/>
    <w:rsid w:val="00640242"/>
    <w:rsid w:val="00643D6F"/>
    <w:rsid w:val="0064582E"/>
    <w:rsid w:val="006C147B"/>
    <w:rsid w:val="00701B47"/>
    <w:rsid w:val="0072357B"/>
    <w:rsid w:val="007574C9"/>
    <w:rsid w:val="0075770C"/>
    <w:rsid w:val="007B07C1"/>
    <w:rsid w:val="007B6507"/>
    <w:rsid w:val="007C4B47"/>
    <w:rsid w:val="007D635F"/>
    <w:rsid w:val="008066E1"/>
    <w:rsid w:val="008115AA"/>
    <w:rsid w:val="0083756F"/>
    <w:rsid w:val="008476E9"/>
    <w:rsid w:val="008A0C71"/>
    <w:rsid w:val="008D543B"/>
    <w:rsid w:val="008F0750"/>
    <w:rsid w:val="0094762D"/>
    <w:rsid w:val="0098526E"/>
    <w:rsid w:val="00994EBC"/>
    <w:rsid w:val="009C113C"/>
    <w:rsid w:val="00A32E68"/>
    <w:rsid w:val="00A36481"/>
    <w:rsid w:val="00A616A8"/>
    <w:rsid w:val="00AB06D9"/>
    <w:rsid w:val="00AC4027"/>
    <w:rsid w:val="00AC6224"/>
    <w:rsid w:val="00AE7972"/>
    <w:rsid w:val="00AF3DEC"/>
    <w:rsid w:val="00B25D8E"/>
    <w:rsid w:val="00B350CD"/>
    <w:rsid w:val="00BE021D"/>
    <w:rsid w:val="00BE663C"/>
    <w:rsid w:val="00BE6836"/>
    <w:rsid w:val="00C050E4"/>
    <w:rsid w:val="00C073E9"/>
    <w:rsid w:val="00C32ECD"/>
    <w:rsid w:val="00CA6A53"/>
    <w:rsid w:val="00D05697"/>
    <w:rsid w:val="00D14153"/>
    <w:rsid w:val="00D934CF"/>
    <w:rsid w:val="00DC145E"/>
    <w:rsid w:val="00DE714D"/>
    <w:rsid w:val="00DF67EB"/>
    <w:rsid w:val="00E0237A"/>
    <w:rsid w:val="00E24463"/>
    <w:rsid w:val="00E41403"/>
    <w:rsid w:val="00E67A29"/>
    <w:rsid w:val="00E80CCA"/>
    <w:rsid w:val="00E83F51"/>
    <w:rsid w:val="00F256A4"/>
    <w:rsid w:val="00F25E8B"/>
    <w:rsid w:val="00F90330"/>
    <w:rsid w:val="00FB303A"/>
    <w:rsid w:val="00FD1A43"/>
    <w:rsid w:val="00FE6B8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BFF3"/>
  <w15:chartTrackingRefBased/>
  <w15:docId w15:val="{EB6556C1-17F5-4341-A6EF-DF02828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D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5DA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5DA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5DA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5D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5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5DA"/>
    <w:rPr>
      <w:color w:val="5A5A5A" w:themeColor="text1" w:themeTint="A5"/>
      <w:spacing w:val="15"/>
    </w:rPr>
  </w:style>
  <w:style w:type="paragraph" w:customStyle="1" w:styleId="1">
    <w:name w:val="样式1"/>
    <w:basedOn w:val="Normal"/>
    <w:link w:val="10"/>
    <w:rsid w:val="00DE714D"/>
    <w:rPr>
      <w:rFonts w:eastAsia="Microsoft YaHei"/>
    </w:rPr>
  </w:style>
  <w:style w:type="character" w:customStyle="1" w:styleId="10">
    <w:name w:val="样式1 字符"/>
    <w:basedOn w:val="DefaultParagraphFont"/>
    <w:link w:val="1"/>
    <w:rsid w:val="00DE714D"/>
    <w:rPr>
      <w:rFonts w:eastAsia="Microsoft YaHei"/>
    </w:rPr>
  </w:style>
  <w:style w:type="character" w:customStyle="1" w:styleId="Heading2Char">
    <w:name w:val="Heading 2 Char"/>
    <w:basedOn w:val="DefaultParagraphFont"/>
    <w:link w:val="Heading2"/>
    <w:uiPriority w:val="9"/>
    <w:rsid w:val="003315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5D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5D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5DA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5DA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5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5DA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5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31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5D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3315D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315DA"/>
    <w:rPr>
      <w:i/>
      <w:iCs/>
      <w:color w:val="auto"/>
    </w:rPr>
  </w:style>
  <w:style w:type="paragraph" w:styleId="NoSpacing">
    <w:name w:val="No Spacing"/>
    <w:uiPriority w:val="1"/>
    <w:qFormat/>
    <w:rsid w:val="00331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5DA"/>
    <w:pPr>
      <w:ind w:firstLineChars="200" w:firstLine="420"/>
    </w:pPr>
  </w:style>
  <w:style w:type="paragraph" w:styleId="Quote">
    <w:name w:val="Quote"/>
    <w:basedOn w:val="Normal"/>
    <w:next w:val="Normal"/>
    <w:link w:val="QuoteChar"/>
    <w:uiPriority w:val="29"/>
    <w:qFormat/>
    <w:rsid w:val="003315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1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5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5D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315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15D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315D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315D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315D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5D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315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07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07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0750"/>
    <w:rPr>
      <w:sz w:val="18"/>
      <w:szCs w:val="18"/>
    </w:rPr>
  </w:style>
  <w:style w:type="paragraph" w:customStyle="1" w:styleId="MDPI41tablecaption">
    <w:name w:val="MDPI_4.1_table_caption"/>
    <w:qFormat/>
    <w:rsid w:val="007D635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GB" w:eastAsia="de-DE" w:bidi="en-US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sz w:val="16"/>
      <w:szCs w:val="20"/>
    </w:rPr>
  </w:style>
  <w:style w:type="paragraph" w:styleId="Revision">
    <w:name w:val="Revision"/>
    <w:hidden/>
    <w:uiPriority w:val="99"/>
    <w:semiHidden/>
    <w:rsid w:val="001636BD"/>
    <w:pPr>
      <w:spacing w:after="0" w:line="240" w:lineRule="auto"/>
    </w:pPr>
    <w:rPr>
      <w:lang w:val="en-GB"/>
    </w:rPr>
  </w:style>
  <w:style w:type="numbering" w:styleId="111111">
    <w:name w:val="Outline List 2"/>
    <w:basedOn w:val="NoList"/>
    <w:uiPriority w:val="99"/>
    <w:semiHidden/>
    <w:unhideWhenUsed/>
    <w:rsid w:val="001636B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1636BD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636B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BD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BD"/>
    <w:rPr>
      <w:rFonts w:ascii="Tahoma" w:hAnsi="Tahoma" w:cs="Tahoma"/>
      <w:sz w:val="1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36BD"/>
  </w:style>
  <w:style w:type="paragraph" w:styleId="BlockText">
    <w:name w:val="Block Text"/>
    <w:basedOn w:val="Normal"/>
    <w:uiPriority w:val="99"/>
    <w:semiHidden/>
    <w:unhideWhenUsed/>
    <w:rsid w:val="001636B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3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6BD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6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6B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36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36B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36B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36BD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6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6B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36B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36B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36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36B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36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36BD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636B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36BD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BD"/>
    <w:rPr>
      <w:rFonts w:ascii="Tahoma" w:hAnsi="Tahoma" w:cs="Tahoma"/>
      <w:b/>
      <w:bCs/>
      <w:sz w:val="16"/>
      <w:szCs w:val="20"/>
    </w:rPr>
  </w:style>
  <w:style w:type="table" w:styleId="DarkList">
    <w:name w:val="Dark List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36BD"/>
  </w:style>
  <w:style w:type="character" w:customStyle="1" w:styleId="DateChar">
    <w:name w:val="Date Char"/>
    <w:basedOn w:val="DefaultParagraphFont"/>
    <w:link w:val="Date"/>
    <w:uiPriority w:val="99"/>
    <w:semiHidden/>
    <w:rsid w:val="001636BD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6B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6BD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36B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36B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63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6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6BD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63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36B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36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6BD"/>
    <w:rPr>
      <w:sz w:val="20"/>
      <w:szCs w:val="20"/>
      <w:lang w:val="en-GB"/>
    </w:rPr>
  </w:style>
  <w:style w:type="table" w:styleId="GridTable1Light">
    <w:name w:val="Grid Table 1 Light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36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36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36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36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36B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36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36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36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36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36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36B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36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1636B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636BD"/>
  </w:style>
  <w:style w:type="paragraph" w:styleId="HTMLAddress">
    <w:name w:val="HTML Address"/>
    <w:basedOn w:val="Normal"/>
    <w:link w:val="HTMLAddressChar"/>
    <w:uiPriority w:val="99"/>
    <w:semiHidden/>
    <w:unhideWhenUsed/>
    <w:rsid w:val="001636B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36BD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636B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36B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36B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36B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6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6BD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636B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36B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36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36BD"/>
    <w:rPr>
      <w:color w:val="0563C1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rsid w:val="001636B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1636B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1636B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1636B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1636B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1636B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1636B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1636B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1636B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36B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36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36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36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36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36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36B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36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36BD"/>
  </w:style>
  <w:style w:type="paragraph" w:styleId="List">
    <w:name w:val="List"/>
    <w:basedOn w:val="Normal"/>
    <w:uiPriority w:val="99"/>
    <w:semiHidden/>
    <w:unhideWhenUsed/>
    <w:rsid w:val="001636B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36B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36B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36B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36B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36BD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36B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36B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36B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36B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36B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36B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36B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36B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36B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36B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36B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36B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36B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36BD"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3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36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36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36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36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36B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36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36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36B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36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36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36B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36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36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36BD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3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3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3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1636B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6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6B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636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36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36B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36B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636BD"/>
  </w:style>
  <w:style w:type="character" w:styleId="PlaceholderText">
    <w:name w:val="Placeholder Text"/>
    <w:basedOn w:val="DefaultParagraphFont"/>
    <w:uiPriority w:val="99"/>
    <w:semiHidden/>
    <w:rsid w:val="001636BD"/>
    <w:rPr>
      <w:color w:val="808080"/>
    </w:rPr>
  </w:style>
  <w:style w:type="table" w:styleId="PlainTable1">
    <w:name w:val="Plain Table 1"/>
    <w:basedOn w:val="TableNormal"/>
    <w:uiPriority w:val="41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36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36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36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6BD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36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36BD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36B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36BD"/>
    <w:rPr>
      <w:lang w:val="en-GB"/>
    </w:rPr>
  </w:style>
  <w:style w:type="character" w:customStyle="1" w:styleId="SmartHyperlink">
    <w:name w:val="Smart Hyperlink"/>
    <w:basedOn w:val="DefaultParagraphFont"/>
    <w:uiPriority w:val="99"/>
    <w:rsid w:val="001636BD"/>
    <w:rPr>
      <w:u w:val="dotted"/>
    </w:rPr>
  </w:style>
  <w:style w:type="character" w:customStyle="1" w:styleId="SmartLink">
    <w:name w:val="Smart Link"/>
    <w:basedOn w:val="DefaultParagraphFont"/>
    <w:uiPriority w:val="99"/>
    <w:rsid w:val="001636BD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1636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36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36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36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36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36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36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36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36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36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36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36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36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36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36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36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36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636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36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36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36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36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36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36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36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3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36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36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36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36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36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36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36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36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36B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36B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36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36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36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36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36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36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36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36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36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36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1636BD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1636BD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1636BD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1636BD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1636BD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1636BD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1636BD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1636BD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1636BD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rsid w:val="0016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changchun</dc:creator>
  <dc:description>NE.Ref</dc:description>
  <cp:lastModifiedBy>Nithya sudalai</cp:lastModifiedBy>
  <cp:revision>50</cp:revision>
  <dcterms:created xsi:type="dcterms:W3CDTF">2022-10-17T17:01:00Z</dcterms:created>
  <dcterms:modified xsi:type="dcterms:W3CDTF">2023-01-11T14:51:00Z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2022-10-15T03:41:30Z</vt:filetime>
  </property>
  <property fmtid="{D5CDD505-2E9C-101B-9397-08002B2CF9AE}" pid="3" name="ReminderText">
    <vt:lpwstr>_K9LQZNSZ</vt:lpwstr>
  </property>
</Properties>
</file>