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882A1C" w14:textId="2086DADA" w:rsidR="00B604DD" w:rsidRPr="000C7311" w:rsidRDefault="005A54A9" w:rsidP="007F64ED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C7311">
        <w:rPr>
          <w:rFonts w:ascii="Times New Roman" w:hAnsi="Times New Roman" w:cs="Times New Roman"/>
          <w:b/>
          <w:sz w:val="24"/>
          <w:szCs w:val="24"/>
          <w:lang w:val="en-US"/>
        </w:rPr>
        <w:t>Supplemental</w:t>
      </w:r>
      <w:r w:rsidRPr="000C7311">
        <w:rPr>
          <w:rFonts w:ascii="Arial" w:hAnsi="Arial" w:cs="Arial"/>
          <w:b/>
          <w:sz w:val="36"/>
          <w:szCs w:val="24"/>
          <w:lang w:val="en-US"/>
        </w:rPr>
        <w:t xml:space="preserve"> </w:t>
      </w:r>
      <w:r w:rsidRPr="000C7311">
        <w:rPr>
          <w:rFonts w:ascii="Times New Roman" w:hAnsi="Times New Roman" w:cs="Times New Roman"/>
          <w:b/>
          <w:sz w:val="24"/>
          <w:szCs w:val="24"/>
          <w:lang w:val="en-US"/>
        </w:rPr>
        <w:t>Information</w:t>
      </w:r>
    </w:p>
    <w:p w14:paraId="3DD7CCCC" w14:textId="77777777" w:rsidR="005A54A9" w:rsidRPr="000C7311" w:rsidRDefault="005A54A9" w:rsidP="007F64ED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A0E3A9B" w14:textId="77777777" w:rsidR="00B22636" w:rsidRPr="00B22636" w:rsidRDefault="00B22636" w:rsidP="007F64ED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2636">
        <w:rPr>
          <w:rFonts w:ascii="Times New Roman" w:hAnsi="Times New Roman" w:cs="Times New Roman"/>
          <w:b/>
          <w:sz w:val="24"/>
          <w:szCs w:val="24"/>
        </w:rPr>
        <w:t>Tie2-mediated vascular remodeling by ferritin-based protein C nanoparticles confers antitumor and anti-metastatic activities</w:t>
      </w:r>
    </w:p>
    <w:p w14:paraId="4EEB215A" w14:textId="51032DBB" w:rsidR="00B22636" w:rsidRPr="00B22636" w:rsidRDefault="00B22636" w:rsidP="007F64E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2636">
        <w:rPr>
          <w:rFonts w:ascii="Times New Roman" w:hAnsi="Times New Roman" w:cs="Times New Roman"/>
          <w:sz w:val="24"/>
          <w:szCs w:val="24"/>
        </w:rPr>
        <w:t>Young Sun Choi</w:t>
      </w:r>
      <w:r w:rsidRPr="00B22636">
        <w:rPr>
          <w:rFonts w:ascii="Times New Roman" w:hAnsi="Times New Roman" w:cs="Times New Roman"/>
          <w:sz w:val="24"/>
          <w:szCs w:val="24"/>
          <w:vertAlign w:val="superscript"/>
        </w:rPr>
        <w:t>1,3,</w:t>
      </w:r>
      <w:r w:rsidRPr="00B22636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¶</w:t>
      </w:r>
      <w:r w:rsidRPr="00B22636">
        <w:rPr>
          <w:rFonts w:ascii="Times New Roman" w:hAnsi="Times New Roman" w:cs="Times New Roman"/>
          <w:sz w:val="24"/>
          <w:szCs w:val="24"/>
        </w:rPr>
        <w:t xml:space="preserve"> Hyeonha Jang</w:t>
      </w:r>
      <w:r w:rsidRPr="00B22636">
        <w:rPr>
          <w:rFonts w:ascii="Times New Roman" w:hAnsi="Times New Roman" w:cs="Times New Roman"/>
          <w:sz w:val="24"/>
          <w:szCs w:val="24"/>
          <w:vertAlign w:val="superscript"/>
        </w:rPr>
        <w:t>1,3</w:t>
      </w:r>
      <w:r w:rsidRPr="00B22636">
        <w:rPr>
          <w:rFonts w:ascii="Times New Roman" w:hAnsi="Times New Roman" w:cs="Times New Roman"/>
          <w:sz w:val="24"/>
          <w:szCs w:val="24"/>
        </w:rPr>
        <w:t>, Biki Gupta</w:t>
      </w:r>
      <w:r w:rsidRPr="00B22636">
        <w:rPr>
          <w:rFonts w:ascii="Times New Roman" w:hAnsi="Times New Roman" w:cs="Times New Roman"/>
          <w:sz w:val="24"/>
          <w:szCs w:val="24"/>
          <w:vertAlign w:val="superscript"/>
        </w:rPr>
        <w:t>2,3,</w:t>
      </w:r>
      <w:r w:rsidRPr="00B22636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‖</w:t>
      </w:r>
      <w:r w:rsidRPr="00B22636">
        <w:rPr>
          <w:rFonts w:ascii="Times New Roman" w:hAnsi="Times New Roman" w:cs="Times New Roman"/>
          <w:sz w:val="24"/>
          <w:szCs w:val="24"/>
        </w:rPr>
        <w:t xml:space="preserve">, Ji-Hak Jeong </w:t>
      </w:r>
      <w:r w:rsidRPr="00B22636">
        <w:rPr>
          <w:rFonts w:ascii="Times New Roman" w:hAnsi="Times New Roman" w:cs="Times New Roman"/>
          <w:sz w:val="24"/>
          <w:szCs w:val="24"/>
          <w:vertAlign w:val="superscript"/>
        </w:rPr>
        <w:t>2,3</w:t>
      </w:r>
      <w:r w:rsidRPr="00B22636">
        <w:rPr>
          <w:rFonts w:ascii="Times New Roman" w:hAnsi="Times New Roman" w:cs="Times New Roman"/>
          <w:sz w:val="24"/>
          <w:szCs w:val="24"/>
        </w:rPr>
        <w:t>, Yun Ge</w:t>
      </w:r>
      <w:r w:rsidR="005E0782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Pr="00B22636">
        <w:rPr>
          <w:rFonts w:ascii="Times New Roman" w:hAnsi="Times New Roman" w:cs="Times New Roman"/>
          <w:sz w:val="24"/>
          <w:szCs w:val="24"/>
        </w:rPr>
        <w:t>, Chul Soon Yong</w:t>
      </w:r>
      <w:r w:rsidRPr="00B22636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B22636">
        <w:rPr>
          <w:rFonts w:ascii="Times New Roman" w:hAnsi="Times New Roman" w:cs="Times New Roman"/>
          <w:sz w:val="24"/>
          <w:szCs w:val="24"/>
        </w:rPr>
        <w:t>, Jong Oh Kim</w:t>
      </w:r>
      <w:r w:rsidRPr="00B22636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B22636">
        <w:rPr>
          <w:rFonts w:ascii="Times New Roman" w:hAnsi="Times New Roman" w:cs="Times New Roman"/>
          <w:sz w:val="24"/>
          <w:szCs w:val="24"/>
        </w:rPr>
        <w:t>, Jong Sup Bae</w:t>
      </w:r>
      <w:r w:rsidR="005E0782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Pr="00B22636">
        <w:rPr>
          <w:rFonts w:ascii="Times New Roman" w:hAnsi="Times New Roman" w:cs="Times New Roman"/>
          <w:sz w:val="24"/>
          <w:szCs w:val="24"/>
        </w:rPr>
        <w:t>, Im-Sook Song</w:t>
      </w:r>
      <w:r w:rsidRPr="00B22636">
        <w:rPr>
          <w:rFonts w:ascii="Times New Roman" w:hAnsi="Times New Roman" w:cs="Times New Roman"/>
          <w:sz w:val="24"/>
          <w:szCs w:val="24"/>
          <w:vertAlign w:val="superscript"/>
        </w:rPr>
        <w:t>1,2,3</w:t>
      </w:r>
      <w:r w:rsidRPr="00B22636">
        <w:rPr>
          <w:rFonts w:ascii="Times New Roman" w:hAnsi="Times New Roman" w:cs="Times New Roman"/>
          <w:sz w:val="24"/>
          <w:szCs w:val="24"/>
        </w:rPr>
        <w:t>, In-San Kim</w:t>
      </w:r>
      <w:r w:rsidRPr="00B22636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B22636">
        <w:rPr>
          <w:rFonts w:ascii="Times New Roman" w:hAnsi="Times New Roman" w:cs="Times New Roman"/>
          <w:sz w:val="24"/>
          <w:szCs w:val="24"/>
        </w:rPr>
        <w:t>, and You Mie Lee</w:t>
      </w:r>
      <w:r w:rsidRPr="00B22636">
        <w:rPr>
          <w:rFonts w:ascii="Times New Roman" w:hAnsi="Times New Roman" w:cs="Times New Roman"/>
          <w:sz w:val="24"/>
          <w:szCs w:val="24"/>
          <w:vertAlign w:val="superscript"/>
        </w:rPr>
        <w:t>1,2,3, *</w:t>
      </w:r>
    </w:p>
    <w:p w14:paraId="2D6B59C1" w14:textId="77777777" w:rsidR="00B22636" w:rsidRPr="00B22636" w:rsidRDefault="00B22636" w:rsidP="007F64E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0A5F15B6" w14:textId="2772B054" w:rsidR="00B22636" w:rsidRPr="003110EB" w:rsidRDefault="00B22636" w:rsidP="005E078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10E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3110EB">
        <w:rPr>
          <w:rFonts w:ascii="Times New Roman" w:hAnsi="Times New Roman" w:cs="Times New Roman"/>
          <w:sz w:val="24"/>
          <w:szCs w:val="24"/>
        </w:rPr>
        <w:t xml:space="preserve">BK21 Plus KNU Multi-Omics Creative Drug Research Team, </w:t>
      </w:r>
      <w:r w:rsidRPr="003110E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110EB">
        <w:rPr>
          <w:rFonts w:ascii="Times New Roman" w:hAnsi="Times New Roman" w:cs="Times New Roman"/>
          <w:sz w:val="24"/>
          <w:szCs w:val="24"/>
        </w:rPr>
        <w:t xml:space="preserve">Research Institute of Pharmaceutical Sciences, </w:t>
      </w:r>
      <w:r w:rsidRPr="003110E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3110EB" w:rsidRPr="003110EB">
        <w:rPr>
          <w:rFonts w:ascii="Times New Roman" w:hAnsi="Times New Roman" w:cs="Times New Roman"/>
          <w:noProof/>
          <w:sz w:val="24"/>
          <w:szCs w:val="24"/>
        </w:rPr>
        <w:t>Vessel-Organ Interaction Research Center, VOICE (MRC)</w:t>
      </w:r>
      <w:r w:rsidR="003110EB" w:rsidRPr="003110EB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5E0782">
        <w:rPr>
          <w:rFonts w:ascii="Times New Roman" w:hAnsi="Times New Roman" w:cs="Times New Roman"/>
          <w:noProof/>
          <w:sz w:val="24"/>
          <w:szCs w:val="24"/>
        </w:rPr>
        <w:t xml:space="preserve">Department of </w:t>
      </w:r>
      <w:r w:rsidR="005E0782" w:rsidRPr="003110EB">
        <w:rPr>
          <w:rFonts w:ascii="Times New Roman" w:hAnsi="Times New Roman" w:cs="Times New Roman"/>
          <w:noProof/>
          <w:sz w:val="24"/>
          <w:szCs w:val="24"/>
        </w:rPr>
        <w:t xml:space="preserve">Molecular Pathophysiology, </w:t>
      </w:r>
      <w:r w:rsidRPr="003110EB">
        <w:rPr>
          <w:rFonts w:ascii="Times New Roman" w:hAnsi="Times New Roman" w:cs="Times New Roman"/>
          <w:sz w:val="24"/>
          <w:szCs w:val="24"/>
        </w:rPr>
        <w:t xml:space="preserve">College of Pharmacy, Kyungpook National University, Daegu, 41566, Republic of Korea. </w:t>
      </w:r>
      <w:r w:rsidRPr="003110EB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3110EB">
        <w:rPr>
          <w:rFonts w:ascii="Times New Roman" w:hAnsi="Times New Roman" w:cs="Times New Roman"/>
          <w:sz w:val="24"/>
          <w:szCs w:val="24"/>
        </w:rPr>
        <w:t xml:space="preserve">College of Pharmacy, Yeungnam University, Gyeongsan 38541, Republic of Korea. </w:t>
      </w:r>
      <w:r w:rsidRPr="003110EB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3110EB">
        <w:rPr>
          <w:rFonts w:ascii="Times New Roman" w:hAnsi="Times New Roman" w:cs="Times New Roman"/>
          <w:sz w:val="24"/>
          <w:szCs w:val="24"/>
        </w:rPr>
        <w:t>Biomedical Research Institute, Korea Institute of Science and Technology, Seoul, 02792, Republic of Korea</w:t>
      </w:r>
    </w:p>
    <w:p w14:paraId="7CD09D5D" w14:textId="77777777" w:rsidR="00B22636" w:rsidRPr="00B22636" w:rsidRDefault="00B22636" w:rsidP="007F64E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31E61A" w14:textId="77777777" w:rsidR="00B22636" w:rsidRPr="00B22636" w:rsidRDefault="00B22636" w:rsidP="007F64ED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2636">
        <w:rPr>
          <w:rFonts w:ascii="Times New Roman" w:hAnsi="Times New Roman" w:cs="Times New Roman"/>
          <w:b/>
          <w:sz w:val="24"/>
          <w:szCs w:val="24"/>
        </w:rPr>
        <w:t xml:space="preserve">* Correspondence to: </w:t>
      </w:r>
    </w:p>
    <w:p w14:paraId="17557440" w14:textId="5AF87AE4" w:rsidR="00B22636" w:rsidRPr="00B22636" w:rsidRDefault="00B22636" w:rsidP="007F64E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2636">
        <w:rPr>
          <w:rFonts w:ascii="Times New Roman" w:hAnsi="Times New Roman" w:cs="Times New Roman"/>
          <w:sz w:val="24"/>
          <w:szCs w:val="24"/>
        </w:rPr>
        <w:t xml:space="preserve">You Mie Lee, Ph.D. Professor, </w:t>
      </w:r>
    </w:p>
    <w:p w14:paraId="445977F1" w14:textId="0FC31F77" w:rsidR="00B22636" w:rsidRPr="00B22636" w:rsidRDefault="005E0782" w:rsidP="007F64E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3110EB">
        <w:rPr>
          <w:rFonts w:ascii="Times New Roman" w:hAnsi="Times New Roman" w:cs="Times New Roman"/>
          <w:noProof/>
          <w:sz w:val="24"/>
          <w:szCs w:val="24"/>
        </w:rPr>
        <w:t xml:space="preserve">Vessel-Organ Interaction Research Center, VOICE (MRC),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Department of </w:t>
      </w:r>
      <w:r w:rsidRPr="003110EB">
        <w:rPr>
          <w:rFonts w:ascii="Times New Roman" w:hAnsi="Times New Roman" w:cs="Times New Roman"/>
          <w:noProof/>
          <w:sz w:val="24"/>
          <w:szCs w:val="24"/>
        </w:rPr>
        <w:t xml:space="preserve">Molecular Pathophysiology, </w:t>
      </w:r>
      <w:r w:rsidR="00B22636" w:rsidRPr="00B22636">
        <w:rPr>
          <w:rFonts w:ascii="Times New Roman" w:hAnsi="Times New Roman" w:cs="Times New Roman"/>
          <w:sz w:val="24"/>
          <w:szCs w:val="24"/>
        </w:rPr>
        <w:t xml:space="preserve">College of Pharmacy, Kyungpook National University, Daegu, 41566, Republic of Korea. </w:t>
      </w:r>
    </w:p>
    <w:p w14:paraId="375B3756" w14:textId="1791E355" w:rsidR="00B22636" w:rsidRPr="00B22636" w:rsidRDefault="00B22636" w:rsidP="007F64ED">
      <w:pPr>
        <w:spacing w:line="480" w:lineRule="auto"/>
        <w:jc w:val="both"/>
        <w:rPr>
          <w:rStyle w:val="a5"/>
          <w:rFonts w:ascii="Times New Roman" w:hAnsi="Times New Roman" w:cs="Times New Roman"/>
          <w:sz w:val="24"/>
          <w:szCs w:val="24"/>
        </w:rPr>
      </w:pPr>
      <w:r w:rsidRPr="00B22636">
        <w:rPr>
          <w:rFonts w:ascii="Times New Roman" w:hAnsi="Times New Roman" w:cs="Times New Roman"/>
          <w:sz w:val="24"/>
          <w:szCs w:val="24"/>
        </w:rPr>
        <w:t xml:space="preserve">Tel: +82-53-950-8566, Fax: +82-53-950-8557, E-mail: </w:t>
      </w:r>
      <w:hyperlink r:id="rId7" w:history="1">
        <w:r w:rsidRPr="00B22636">
          <w:rPr>
            <w:rStyle w:val="a5"/>
            <w:rFonts w:ascii="Times New Roman" w:hAnsi="Times New Roman" w:cs="Times New Roman"/>
            <w:sz w:val="24"/>
            <w:szCs w:val="24"/>
          </w:rPr>
          <w:t>lym@knu.ac.kr</w:t>
        </w:r>
      </w:hyperlink>
    </w:p>
    <w:p w14:paraId="4166AF77" w14:textId="77777777" w:rsidR="00B22636" w:rsidRPr="00B22636" w:rsidRDefault="00B22636" w:rsidP="007F64E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2636">
        <w:rPr>
          <w:rFonts w:ascii="Times New Roman" w:hAnsi="Times New Roman" w:cs="Times New Roman"/>
          <w:sz w:val="24"/>
          <w:szCs w:val="24"/>
        </w:rPr>
        <w:t xml:space="preserve">ORCID: </w:t>
      </w:r>
      <w:hyperlink r:id="rId8" w:history="1">
        <w:r w:rsidRPr="00B22636">
          <w:rPr>
            <w:rStyle w:val="a5"/>
            <w:rFonts w:ascii="Times New Roman" w:hAnsi="Times New Roman" w:cs="Times New Roman"/>
            <w:sz w:val="24"/>
            <w:szCs w:val="24"/>
          </w:rPr>
          <w:t>https://orcid.org/0000-0002-5756-7169</w:t>
        </w:r>
      </w:hyperlink>
    </w:p>
    <w:p w14:paraId="53895CC0" w14:textId="533F931C" w:rsidR="005A54A9" w:rsidRPr="005A54A9" w:rsidRDefault="005A54A9" w:rsidP="007F64ED">
      <w:pPr>
        <w:jc w:val="both"/>
        <w:rPr>
          <w:rFonts w:ascii="Arial" w:hAnsi="Arial" w:cs="Arial"/>
          <w:b/>
          <w:sz w:val="28"/>
          <w:szCs w:val="24"/>
        </w:rPr>
      </w:pPr>
      <w:r w:rsidRPr="005A54A9">
        <w:rPr>
          <w:rFonts w:ascii="Arial" w:hAnsi="Arial" w:cs="Arial"/>
          <w:b/>
          <w:sz w:val="28"/>
          <w:szCs w:val="24"/>
        </w:rPr>
        <w:lastRenderedPageBreak/>
        <w:br w:type="page"/>
      </w:r>
    </w:p>
    <w:p w14:paraId="3908D083" w14:textId="77777777" w:rsidR="005D7C2E" w:rsidRDefault="005D7C2E" w:rsidP="007F64ED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4D12CC52" wp14:editId="24D9ABF6">
            <wp:extent cx="5724525" cy="4314825"/>
            <wp:effectExtent l="0" t="0" r="9525" b="9525"/>
            <wp:docPr id="2" name="Picture 2" descr="E:\Dropbox\Hyeonha\TFMG\JHH\J_hematology and oncology\Figures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ropbox\Hyeonha\TFMG\JHH\J_hematology and oncology\Figures\Figure S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25"/>
                    <a:stretch/>
                  </pic:blipFill>
                  <pic:spPr bwMode="auto">
                    <a:xfrm>
                      <a:off x="0" y="0"/>
                      <a:ext cx="57245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26A39" w14:textId="39DBB08E" w:rsidR="00D44506" w:rsidRPr="005A54A9" w:rsidRDefault="00D44506" w:rsidP="00D3262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A54A9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 w:rsidR="005A54A9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E808DD">
        <w:rPr>
          <w:rFonts w:ascii="Times New Roman" w:hAnsi="Times New Roman" w:cs="Times New Roman"/>
          <w:b/>
          <w:sz w:val="24"/>
          <w:szCs w:val="24"/>
          <w:lang w:val="en-US"/>
        </w:rPr>
        <w:t>1.</w:t>
      </w:r>
      <w:r w:rsidR="00B604DD" w:rsidRPr="005A54A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5A54A9">
        <w:rPr>
          <w:rFonts w:ascii="Times New Roman" w:hAnsi="Times New Roman" w:cs="Times New Roman"/>
          <w:b/>
          <w:sz w:val="24"/>
          <w:szCs w:val="24"/>
          <w:lang w:val="en-US"/>
        </w:rPr>
        <w:t>Characterization of TFG and TFMG</w:t>
      </w:r>
      <w:r w:rsidR="00243D0E" w:rsidRPr="005A54A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243D0E" w:rsidRPr="00066B40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in vitro</w:t>
      </w:r>
      <w:r w:rsidRPr="005A54A9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14:paraId="28B730D7" w14:textId="7A082E30" w:rsidR="00B604DD" w:rsidRPr="005A54A9" w:rsidRDefault="005A54A9" w:rsidP="00D326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A54A9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 w:rsidR="00D44506" w:rsidRPr="005A54A9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5A54A9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="00B604DD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44506" w:rsidRPr="005A54A9">
        <w:rPr>
          <w:rFonts w:ascii="Times New Roman" w:hAnsi="Times New Roman" w:cs="Times New Roman"/>
          <w:sz w:val="24"/>
          <w:szCs w:val="24"/>
          <w:lang w:val="en-US"/>
        </w:rPr>
        <w:t>Schematic diagram of TFG and TFMG. TRAP peptide and PC-Gla with or without an MMP-2 cleavage site were inserted into short ferritin (sFn).</w:t>
      </w:r>
    </w:p>
    <w:p w14:paraId="4E127217" w14:textId="2839E548" w:rsidR="00B604DD" w:rsidRPr="00C27F33" w:rsidRDefault="005A54A9" w:rsidP="00D32623">
      <w:pPr>
        <w:spacing w:after="0" w:line="360" w:lineRule="auto"/>
        <w:jc w:val="both"/>
        <w:rPr>
          <w:rFonts w:ascii="Times New Roman" w:hAnsi="Times New Roman" w:cs="Times New Roman"/>
          <w:color w:val="00B050"/>
          <w:sz w:val="24"/>
          <w:szCs w:val="24"/>
          <w:lang w:val="en-US"/>
        </w:rPr>
      </w:pPr>
      <w:r w:rsidRPr="005A54A9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 w:rsidR="00D44506" w:rsidRPr="005A54A9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Pr="005A54A9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="00B604DD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44506" w:rsidRPr="005A54A9">
        <w:rPr>
          <w:rFonts w:ascii="Times New Roman" w:hAnsi="Times New Roman" w:cs="Times New Roman"/>
          <w:sz w:val="24"/>
          <w:szCs w:val="24"/>
          <w:lang w:val="en-US"/>
        </w:rPr>
        <w:t>3D models of TFG and TFMG were prepared by PyMol</w:t>
      </w:r>
      <w:r w:rsidR="00D44506" w:rsidRPr="00BB2E1F">
        <w:rPr>
          <w:rFonts w:ascii="Times New Roman" w:hAnsi="Times New Roman" w:cs="Times New Roman"/>
          <w:color w:val="00B050"/>
          <w:sz w:val="24"/>
          <w:szCs w:val="24"/>
          <w:vertAlign w:val="superscript"/>
          <w:lang w:val="en-US"/>
        </w:rPr>
        <w:t>*</w:t>
      </w:r>
      <w:r w:rsidR="00D44506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. The structures of TRAP and PC-Gla with or without an MMP-2 cleavage site were calculated based on the crystal structure of sFn. </w:t>
      </w:r>
      <w:r w:rsidR="00C27F33" w:rsidRPr="00EE4BD7">
        <w:rPr>
          <w:rFonts w:ascii="Times New Roman" w:hAnsi="Times New Roman" w:cs="Times New Roman"/>
          <w:color w:val="FF0000"/>
          <w:sz w:val="24"/>
          <w:szCs w:val="24"/>
          <w:vertAlign w:val="superscript"/>
          <w:lang w:val="en-US"/>
        </w:rPr>
        <w:t>*</w:t>
      </w:r>
      <w:r w:rsidR="00C27F33" w:rsidRPr="00EE4BD7">
        <w:rPr>
          <w:rFonts w:ascii="Times New Roman" w:hAnsi="Times New Roman" w:cs="Times New Roman"/>
          <w:color w:val="FF0000"/>
          <w:sz w:val="24"/>
          <w:szCs w:val="24"/>
          <w:lang w:val="en-US"/>
        </w:rPr>
        <w:t>Schrödinger LLC (The PyMOL Molecular Graphics System, Version 1.3r1, 2010,</w:t>
      </w:r>
      <w:r w:rsidR="007F64ED" w:rsidRPr="00EE4BD7">
        <w:rPr>
          <w:rFonts w:ascii="Times New Roman" w:hAnsi="Times New Roman" w:cs="Times New Roman" w:hint="eastAsia"/>
          <w:color w:val="FF0000"/>
          <w:sz w:val="24"/>
          <w:szCs w:val="24"/>
          <w:lang w:val="en-US"/>
        </w:rPr>
        <w:t xml:space="preserve"> </w:t>
      </w:r>
      <w:r w:rsidR="00C27F33" w:rsidRPr="00EE4BD7">
        <w:rPr>
          <w:rFonts w:ascii="Times New Roman" w:hAnsi="Times New Roman" w:cs="Times New Roman"/>
          <w:color w:val="FF0000"/>
          <w:sz w:val="24"/>
          <w:szCs w:val="24"/>
          <w:lang w:val="en-US"/>
        </w:rPr>
        <w:t>the JyMOL Molecular Graphics Development Component, Version 1.0, 2010, and the AxPyMOL Molecular Graphics Plugin for Microsoft PowerPoint,</w:t>
      </w:r>
      <w:r w:rsidR="00BD7363" w:rsidRPr="00EE4BD7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</w:t>
      </w:r>
      <w:r w:rsidR="00C27F33" w:rsidRPr="00EE4BD7">
        <w:rPr>
          <w:rFonts w:ascii="Times New Roman" w:hAnsi="Times New Roman" w:cs="Times New Roman"/>
          <w:color w:val="FF0000"/>
          <w:sz w:val="24"/>
          <w:szCs w:val="24"/>
          <w:lang w:val="en-US"/>
        </w:rPr>
        <w:t>Version 1.0, 2010).</w:t>
      </w:r>
    </w:p>
    <w:p w14:paraId="2DD14068" w14:textId="17F2DE00" w:rsidR="00B604DD" w:rsidRDefault="005A54A9" w:rsidP="00D326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A54A9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 w:rsidR="00D44506" w:rsidRPr="005A54A9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5A54A9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="00B604DD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44506" w:rsidRPr="005A54A9">
        <w:rPr>
          <w:rFonts w:ascii="Times New Roman" w:hAnsi="Times New Roman" w:cs="Times New Roman"/>
          <w:sz w:val="24"/>
          <w:szCs w:val="24"/>
          <w:lang w:val="en-US"/>
        </w:rPr>
        <w:t>Photographic image of SDS-PAGE gel electrophoresis analysis of TFG and TFMG.</w:t>
      </w:r>
    </w:p>
    <w:p w14:paraId="6BC5C6D0" w14:textId="469F68CF" w:rsidR="00C27F33" w:rsidRPr="00EE4BD7" w:rsidRDefault="00C27F33" w:rsidP="00D32623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EE4BD7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(</w:t>
      </w:r>
      <w:r w:rsidRPr="00EE4BD7">
        <w:rPr>
          <w:rFonts w:ascii="Times New Roman" w:hAnsi="Times New Roman" w:cs="Times New Roman" w:hint="eastAsia"/>
          <w:b/>
          <w:color w:val="FF0000"/>
          <w:sz w:val="24"/>
          <w:szCs w:val="24"/>
          <w:lang w:val="en-US"/>
        </w:rPr>
        <w:t>D)</w:t>
      </w:r>
      <w:r w:rsidRPr="00EE4BD7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Pr="00EE4BD7">
        <w:rPr>
          <w:rFonts w:ascii="Times New Roman" w:hAnsi="Times New Roman" w:cs="Times New Roman"/>
          <w:color w:val="FF0000"/>
          <w:sz w:val="24"/>
          <w:szCs w:val="24"/>
          <w:lang w:val="en-US"/>
        </w:rPr>
        <w:t>Transmission electron microscopes (TEM) images. Scale bars represent 50 nm.</w:t>
      </w:r>
      <w:r w:rsidR="00D32623" w:rsidRPr="00EE4BD7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(</w:t>
      </w:r>
      <w:r w:rsidR="00D32623" w:rsidRPr="00EE4BD7">
        <w:rPr>
          <w:rFonts w:ascii="Times New Roman" w:hAnsi="Times New Roman" w:cs="Times New Roman"/>
          <w:i/>
          <w:color w:val="FF0000"/>
          <w:sz w:val="24"/>
          <w:szCs w:val="24"/>
          <w:lang w:val="en-US"/>
        </w:rPr>
        <w:t>Adv Mater.</w:t>
      </w:r>
      <w:r w:rsidR="00D32623" w:rsidRPr="00EE4BD7">
        <w:rPr>
          <w:rFonts w:ascii="Times New Roman" w:hAnsi="Times New Roman" w:cs="Times New Roman" w:hint="eastAsia"/>
          <w:color w:val="FF0000"/>
          <w:sz w:val="24"/>
          <w:szCs w:val="24"/>
          <w:lang w:val="en-US"/>
        </w:rPr>
        <w:t xml:space="preserve"> </w:t>
      </w:r>
      <w:r w:rsidR="00D32623" w:rsidRPr="00EE4BD7">
        <w:rPr>
          <w:rFonts w:ascii="Times New Roman" w:hAnsi="Times New Roman" w:cs="Times New Roman"/>
          <w:color w:val="FF0000"/>
          <w:sz w:val="24"/>
          <w:szCs w:val="24"/>
          <w:lang w:val="en-US"/>
        </w:rPr>
        <w:t>2015;27(42):6637-43)</w:t>
      </w:r>
    </w:p>
    <w:p w14:paraId="0B9600BD" w14:textId="34AEFE51" w:rsidR="005D7C2E" w:rsidRPr="00EE4BD7" w:rsidRDefault="00C27F33" w:rsidP="00D32623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EE4BD7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(</w:t>
      </w:r>
      <w:r w:rsidR="005D7C2E" w:rsidRPr="00EE4BD7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E</w:t>
      </w:r>
      <w:r w:rsidRPr="00EE4BD7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)</w:t>
      </w:r>
      <w:r w:rsidRPr="00EE4BD7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Size distribution measurements</w:t>
      </w:r>
      <w:r w:rsidRPr="00EE4BD7">
        <w:rPr>
          <w:rFonts w:ascii="Times New Roman" w:hAnsi="Times New Roman" w:cs="Times New Roman" w:hint="eastAsia"/>
          <w:color w:val="FF0000"/>
          <w:sz w:val="24"/>
          <w:szCs w:val="24"/>
          <w:lang w:val="en-US"/>
        </w:rPr>
        <w:t xml:space="preserve"> </w:t>
      </w:r>
      <w:r w:rsidR="00D32623" w:rsidRPr="00EE4BD7">
        <w:rPr>
          <w:rFonts w:ascii="Times New Roman" w:hAnsi="Times New Roman" w:cs="Times New Roman"/>
          <w:color w:val="FF0000"/>
          <w:sz w:val="24"/>
          <w:szCs w:val="24"/>
          <w:lang w:val="en-US"/>
        </w:rPr>
        <w:t>of TFG and TFMG assemblies. (</w:t>
      </w:r>
      <w:r w:rsidR="00D32623" w:rsidRPr="00EE4BD7">
        <w:rPr>
          <w:rFonts w:ascii="Times New Roman" w:hAnsi="Times New Roman" w:cs="Times New Roman"/>
          <w:i/>
          <w:color w:val="FF0000"/>
          <w:sz w:val="24"/>
          <w:szCs w:val="24"/>
          <w:lang w:val="en-US"/>
        </w:rPr>
        <w:t>Adv Mater.</w:t>
      </w:r>
      <w:r w:rsidR="00D32623" w:rsidRPr="00EE4BD7">
        <w:rPr>
          <w:rFonts w:ascii="Times New Roman" w:hAnsi="Times New Roman" w:cs="Times New Roman" w:hint="eastAsia"/>
          <w:color w:val="FF0000"/>
          <w:sz w:val="24"/>
          <w:szCs w:val="24"/>
          <w:lang w:val="en-US"/>
        </w:rPr>
        <w:t xml:space="preserve"> </w:t>
      </w:r>
      <w:r w:rsidR="00D32623" w:rsidRPr="00EE4BD7">
        <w:rPr>
          <w:rFonts w:ascii="Times New Roman" w:hAnsi="Times New Roman" w:cs="Times New Roman"/>
          <w:color w:val="FF0000"/>
          <w:sz w:val="24"/>
          <w:szCs w:val="24"/>
          <w:lang w:val="en-US"/>
        </w:rPr>
        <w:t>2015;27(42):6637-43)</w:t>
      </w:r>
    </w:p>
    <w:p w14:paraId="1825C8BF" w14:textId="15F51B2E" w:rsidR="00243D0E" w:rsidRDefault="00243D0E" w:rsidP="007F64ED">
      <w:pPr>
        <w:spacing w:after="0" w:line="360" w:lineRule="auto"/>
        <w:ind w:left="283" w:hangingChars="177" w:hanging="283"/>
        <w:jc w:val="both"/>
        <w:rPr>
          <w:rFonts w:ascii="Arial" w:hAnsi="Arial" w:cs="Arial"/>
          <w:sz w:val="16"/>
          <w:szCs w:val="24"/>
          <w:lang w:val="en-US"/>
        </w:rPr>
      </w:pPr>
    </w:p>
    <w:p w14:paraId="3145EC8F" w14:textId="4AC2CEDA" w:rsidR="00970A55" w:rsidRDefault="00D775B6" w:rsidP="007F64ED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Arial" w:hAnsi="Arial" w:cs="Arial"/>
          <w:noProof/>
          <w:sz w:val="16"/>
          <w:szCs w:val="24"/>
          <w:lang w:val="en-US"/>
        </w:rPr>
        <w:lastRenderedPageBreak/>
        <w:drawing>
          <wp:inline distT="0" distB="0" distL="0" distR="0" wp14:anchorId="7DEFEF24" wp14:editId="60B87A82">
            <wp:extent cx="5735117" cy="6393485"/>
            <wp:effectExtent l="0" t="0" r="0" b="7620"/>
            <wp:docPr id="1" name="Picture 1" descr="E:\Dropbox\Hyeonha\TFMG\JHH\J_hematology and oncology\Figures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ropbox\Hyeonha\TFMG\JHH\J_hematology and oncology\Figures\Figure S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30" b="2342"/>
                    <a:stretch/>
                  </pic:blipFill>
                  <pic:spPr bwMode="auto">
                    <a:xfrm>
                      <a:off x="0" y="0"/>
                      <a:ext cx="5735117" cy="639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3B30D4" w14:textId="77777777" w:rsidR="00AC180A" w:rsidRDefault="00AC180A" w:rsidP="00AC180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5F5C387" w14:textId="21468A7A" w:rsidR="006462F5" w:rsidRPr="005A54A9" w:rsidRDefault="006462F5" w:rsidP="00AC180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A54A9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 w:rsidR="005A54A9" w:rsidRPr="005A54A9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5A54A9">
        <w:rPr>
          <w:rFonts w:ascii="Times New Roman" w:hAnsi="Times New Roman" w:cs="Times New Roman"/>
          <w:b/>
          <w:sz w:val="24"/>
          <w:szCs w:val="24"/>
          <w:lang w:val="en-US"/>
        </w:rPr>
        <w:t xml:space="preserve">2. </w:t>
      </w:r>
      <w:r w:rsidR="001B5433" w:rsidRPr="005A54A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  <w:r w:rsidRPr="005A54A9">
        <w:rPr>
          <w:rFonts w:ascii="Times New Roman" w:hAnsi="Times New Roman" w:cs="Times New Roman"/>
          <w:b/>
          <w:sz w:val="24"/>
          <w:szCs w:val="24"/>
          <w:lang w:val="en-US"/>
        </w:rPr>
        <w:t xml:space="preserve">Characterization of TFG and TFMG </w:t>
      </w:r>
      <w:r w:rsidRPr="00066B40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in vivo</w:t>
      </w:r>
      <w:r w:rsidRPr="005A54A9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14:paraId="4D1508DC" w14:textId="2FBDAD65" w:rsidR="00B604DD" w:rsidRPr="005A54A9" w:rsidRDefault="005A54A9" w:rsidP="00AC18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A54A9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 w:rsidR="006462F5" w:rsidRPr="005A54A9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5A54A9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="006462F5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Analysis for in vivo delivery of TFMG. After injected intravenously with FNI-675 NHS ester-conjugated TFMG (5.48 </w:t>
      </w:r>
      <w:r w:rsidR="006462F5" w:rsidRPr="005A54A9">
        <w:rPr>
          <w:rFonts w:ascii="Times New Roman" w:hAnsi="Times New Roman" w:cs="Times New Roman"/>
          <w:sz w:val="24"/>
          <w:szCs w:val="24"/>
          <w:lang w:val="en-US"/>
        </w:rPr>
        <w:sym w:font="Symbol" w:char="F06D"/>
      </w:r>
      <w:r w:rsidR="006462F5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g/mouse), 3 and 6 h after injection fluoresce images of various organs including tumors were analyzed by IVIS from LLC allograft tumor bearing mice. </w:t>
      </w:r>
    </w:p>
    <w:p w14:paraId="09310E85" w14:textId="2B9C87A5" w:rsidR="00B604DD" w:rsidRPr="005A54A9" w:rsidRDefault="005A54A9" w:rsidP="00AC18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A54A9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 w:rsidR="006462F5" w:rsidRPr="005A54A9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Pr="005A54A9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="006462F5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Gross morphology of internal organs after cut the abdomen open in PBS-treated control and TFG- or TFMG- treated mice with the same treatment schedule to the experiment in Figure 1.</w:t>
      </w:r>
    </w:p>
    <w:p w14:paraId="24E18898" w14:textId="75FB73FE" w:rsidR="00B604DD" w:rsidRDefault="005A54A9" w:rsidP="00AC18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A54A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(</w:t>
      </w:r>
      <w:r w:rsidR="006462F5" w:rsidRPr="005A54A9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5A54A9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="001B5433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462F5" w:rsidRPr="005A54A9">
        <w:rPr>
          <w:rFonts w:ascii="Times New Roman" w:hAnsi="Times New Roman" w:cs="Times New Roman"/>
          <w:sz w:val="24"/>
          <w:szCs w:val="24"/>
          <w:lang w:val="en-US"/>
        </w:rPr>
        <w:t>Histological analysis for different organs of TFMG-treated mice. Various organs from the same mice as (B) were stained with H&amp;E for examination of gross organ toxicity. Magnification (100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×</m:t>
        </m:r>
      </m:oMath>
      <w:r w:rsidR="006462F5" w:rsidRPr="005A54A9">
        <w:rPr>
          <w:rFonts w:ascii="Times New Roman" w:hAnsi="Times New Roman" w:cs="Times New Roman"/>
          <w:sz w:val="24"/>
          <w:szCs w:val="24"/>
          <w:lang w:val="en-US"/>
        </w:rPr>
        <w:t>, 200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×</m:t>
        </m:r>
      </m:oMath>
      <w:r w:rsidR="006462F5" w:rsidRPr="005A54A9">
        <w:rPr>
          <w:rFonts w:ascii="Times New Roman" w:hAnsi="Times New Roman" w:cs="Times New Roman"/>
          <w:sz w:val="24"/>
          <w:szCs w:val="24"/>
          <w:lang w:val="en-US"/>
        </w:rPr>
        <w:t>).</w:t>
      </w:r>
      <w:r w:rsidR="001D24F6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4A9DD3BB" w14:textId="6CFD2922" w:rsidR="00970A55" w:rsidRPr="00EE4BD7" w:rsidRDefault="00970A55" w:rsidP="00AC180A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EE4BD7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(D</w:t>
      </w:r>
      <w:r w:rsidRPr="00EE4BD7">
        <w:rPr>
          <w:rFonts w:ascii="Times New Roman" w:hAnsi="Times New Roman" w:cs="Times New Roman"/>
          <w:color w:val="FF0000"/>
          <w:sz w:val="24"/>
          <w:szCs w:val="24"/>
          <w:lang w:val="en-US"/>
        </w:rPr>
        <w:t>)</w:t>
      </w:r>
      <w:r w:rsidR="0006043A" w:rsidRPr="00EE4BD7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Apoptotic cells were detected</w:t>
      </w:r>
      <w:r w:rsidR="00437D34" w:rsidRPr="00EE4BD7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</w:t>
      </w:r>
      <w:r w:rsidR="0006043A" w:rsidRPr="00EE4BD7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by the TUNEL </w:t>
      </w:r>
      <w:r w:rsidR="003128F9" w:rsidRPr="00EE4BD7">
        <w:rPr>
          <w:rFonts w:ascii="Times New Roman" w:hAnsi="Times New Roman" w:cs="Times New Roman"/>
          <w:color w:val="FF0000"/>
          <w:sz w:val="24"/>
          <w:szCs w:val="24"/>
          <w:lang w:val="en-US"/>
        </w:rPr>
        <w:t>in liver, lung, kidney, spleen and heart tissue sections</w:t>
      </w:r>
      <w:r w:rsidR="0006043A" w:rsidRPr="00EE4BD7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. </w:t>
      </w:r>
      <w:r w:rsidR="003128F9" w:rsidRPr="00EE4BD7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DNA fragmentation in apoptotic cells are in green, and nuclei of cells are in blue (DAPI). </w:t>
      </w:r>
      <w:r w:rsidR="0006043A" w:rsidRPr="00EE4BD7">
        <w:rPr>
          <w:rFonts w:ascii="Times New Roman" w:hAnsi="Times New Roman" w:cs="Times New Roman"/>
          <w:color w:val="FF0000"/>
          <w:sz w:val="24"/>
          <w:szCs w:val="24"/>
          <w:lang w:val="en-US"/>
        </w:rPr>
        <w:t>Scale bar: 50 µm.</w:t>
      </w:r>
      <w:r w:rsidR="00344675" w:rsidRPr="00EE4BD7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Data are presented as mean ± SD (n = 3); </w:t>
      </w:r>
      <w:r w:rsidR="00344675" w:rsidRPr="00EE4BD7">
        <w:rPr>
          <w:rFonts w:ascii="Times New Roman" w:hAnsi="Times New Roman" w:cs="Times New Roman"/>
          <w:color w:val="FF0000"/>
          <w:sz w:val="24"/>
          <w:szCs w:val="24"/>
          <w:vertAlign w:val="superscript"/>
          <w:lang w:val="en-US"/>
        </w:rPr>
        <w:t>*</w:t>
      </w:r>
      <w:r w:rsidR="00344675" w:rsidRPr="00EE4BD7">
        <w:rPr>
          <w:rFonts w:ascii="Times New Roman" w:hAnsi="Times New Roman" w:cs="Times New Roman"/>
          <w:i/>
          <w:color w:val="FF0000"/>
          <w:sz w:val="24"/>
          <w:szCs w:val="24"/>
          <w:lang w:val="en-US"/>
        </w:rPr>
        <w:t>P</w:t>
      </w:r>
      <w:r w:rsidR="00344675" w:rsidRPr="00EE4BD7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&lt; 0.05, </w:t>
      </w:r>
      <w:r w:rsidR="00344675" w:rsidRPr="00EE4BD7">
        <w:rPr>
          <w:rFonts w:ascii="Times New Roman" w:hAnsi="Times New Roman" w:cs="Times New Roman"/>
          <w:color w:val="FF0000"/>
          <w:sz w:val="24"/>
          <w:szCs w:val="24"/>
          <w:vertAlign w:val="superscript"/>
          <w:lang w:val="en-US"/>
        </w:rPr>
        <w:t>**</w:t>
      </w:r>
      <w:r w:rsidR="00344675" w:rsidRPr="00EE4BD7">
        <w:rPr>
          <w:rFonts w:ascii="Times New Roman" w:hAnsi="Times New Roman" w:cs="Times New Roman"/>
          <w:i/>
          <w:color w:val="FF0000"/>
          <w:sz w:val="24"/>
          <w:szCs w:val="24"/>
          <w:lang w:val="en-US"/>
        </w:rPr>
        <w:t>P</w:t>
      </w:r>
      <w:r w:rsidR="00344675" w:rsidRPr="00EE4BD7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&lt; 0.01, and </w:t>
      </w:r>
      <w:r w:rsidR="00344675" w:rsidRPr="00EE4BD7">
        <w:rPr>
          <w:rFonts w:ascii="Times New Roman" w:hAnsi="Times New Roman" w:cs="Times New Roman"/>
          <w:color w:val="FF0000"/>
          <w:sz w:val="24"/>
          <w:szCs w:val="24"/>
          <w:vertAlign w:val="superscript"/>
          <w:lang w:val="en-US"/>
        </w:rPr>
        <w:t>***</w:t>
      </w:r>
      <w:r w:rsidR="00344675" w:rsidRPr="00EE4BD7">
        <w:rPr>
          <w:rFonts w:ascii="Times New Roman" w:hAnsi="Times New Roman" w:cs="Times New Roman"/>
          <w:i/>
          <w:color w:val="FF0000"/>
          <w:sz w:val="24"/>
          <w:szCs w:val="24"/>
          <w:lang w:val="en-US"/>
        </w:rPr>
        <w:t>P</w:t>
      </w:r>
      <w:r w:rsidR="00344675" w:rsidRPr="00EE4BD7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&lt; 0.001 vs PBS control.</w:t>
      </w:r>
    </w:p>
    <w:p w14:paraId="523E2F38" w14:textId="7F02C967" w:rsidR="001B5433" w:rsidRPr="005A54A9" w:rsidRDefault="005A54A9" w:rsidP="00AC18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70A55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 w:rsidR="00970A55" w:rsidRPr="00EE4BD7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E</w:t>
      </w:r>
      <w:r w:rsidRPr="00970A55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="001D24F6" w:rsidRPr="00970A55">
        <w:rPr>
          <w:rFonts w:ascii="Times New Roman" w:hAnsi="Times New Roman" w:cs="Times New Roman"/>
          <w:color w:val="00B050"/>
          <w:sz w:val="24"/>
          <w:szCs w:val="24"/>
          <w:lang w:val="en-US"/>
        </w:rPr>
        <w:t xml:space="preserve"> </w:t>
      </w:r>
      <w:r w:rsidR="001D24F6" w:rsidRPr="005A54A9">
        <w:rPr>
          <w:rFonts w:ascii="Times New Roman" w:hAnsi="Times New Roman" w:cs="Times New Roman"/>
          <w:sz w:val="24"/>
          <w:szCs w:val="24"/>
          <w:lang w:val="en-US"/>
        </w:rPr>
        <w:t>Schematic diagram depicting development of LLC allograft models and treatment schedule</w:t>
      </w:r>
      <w:r w:rsidR="0098363E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of TFMG</w:t>
      </w:r>
      <w:r w:rsidR="001D24F6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. LLC tumor-bearing mice, following </w:t>
      </w:r>
      <w:r w:rsidR="00C72D22" w:rsidRPr="005A54A9">
        <w:rPr>
          <w:rFonts w:ascii="Times New Roman" w:hAnsi="Times New Roman" w:cs="Times New Roman"/>
          <w:sz w:val="24"/>
          <w:szCs w:val="24"/>
          <w:lang w:val="en-US"/>
        </w:rPr>
        <w:t>LLC cells inoculation</w:t>
      </w:r>
      <w:r w:rsidR="001D24F6" w:rsidRPr="005A54A9">
        <w:rPr>
          <w:rFonts w:ascii="Times New Roman" w:hAnsi="Times New Roman" w:cs="Times New Roman"/>
          <w:sz w:val="24"/>
          <w:szCs w:val="24"/>
          <w:lang w:val="en-US"/>
        </w:rPr>
        <w:t>, were</w:t>
      </w:r>
      <w:r w:rsidR="0098363E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administered with TFMG or </w:t>
      </w:r>
      <w:r w:rsidR="00C81988" w:rsidRPr="005A54A9">
        <w:rPr>
          <w:rFonts w:ascii="Times New Roman" w:hAnsi="Times New Roman" w:cs="Times New Roman"/>
          <w:sz w:val="24"/>
          <w:szCs w:val="24"/>
          <w:lang w:val="en-US"/>
        </w:rPr>
        <w:t>PBS</w:t>
      </w:r>
      <w:r w:rsidR="0098363E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C81988" w:rsidRPr="005A54A9">
        <w:rPr>
          <w:rFonts w:ascii="Times New Roman" w:hAnsi="Times New Roman" w:cs="Times New Roman"/>
          <w:sz w:val="24"/>
          <w:szCs w:val="24"/>
          <w:lang w:val="en-US"/>
        </w:rPr>
        <w:t>vehicle</w:t>
      </w:r>
      <w:r w:rsidR="0098363E" w:rsidRPr="005A54A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1D24F6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8363E" w:rsidRPr="005A54A9">
        <w:rPr>
          <w:rFonts w:ascii="Times New Roman" w:hAnsi="Times New Roman" w:cs="Times New Roman"/>
          <w:sz w:val="24"/>
          <w:szCs w:val="24"/>
          <w:lang w:val="en-US"/>
        </w:rPr>
        <w:t>at indicated concentration</w:t>
      </w:r>
      <w:r w:rsidR="0075157B" w:rsidRPr="005A54A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C81988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by </w:t>
      </w:r>
      <w:bookmarkStart w:id="1" w:name="_Hlk33441530"/>
      <w:r w:rsidR="00C81988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intravenous (i.v.), subcutaneous (s.c), or intramuscular (i.m.) injections </w:t>
      </w:r>
      <w:bookmarkEnd w:id="1"/>
      <w:r w:rsidR="001D24F6" w:rsidRPr="005A54A9">
        <w:rPr>
          <w:rFonts w:ascii="Times New Roman" w:hAnsi="Times New Roman" w:cs="Times New Roman"/>
          <w:sz w:val="24"/>
          <w:szCs w:val="24"/>
          <w:lang w:val="en-US"/>
        </w:rPr>
        <w:t>on day 7, 10, and 13, and the tumors were sampled on day 1</w:t>
      </w:r>
      <w:r w:rsidR="00C81988" w:rsidRPr="005A54A9">
        <w:rPr>
          <w:rFonts w:ascii="Times New Roman" w:hAnsi="Times New Roman" w:cs="Times New Roman"/>
          <w:sz w:val="24"/>
          <w:szCs w:val="24"/>
          <w:lang w:val="en-US"/>
        </w:rPr>
        <w:t>7</w:t>
      </w:r>
      <w:r w:rsidR="001D24F6" w:rsidRPr="005A54A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E35A74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Start w:id="2" w:name="_Hlk46048311"/>
      <w:r w:rsidR="00243416" w:rsidRPr="00AB4377">
        <w:rPr>
          <w:rFonts w:ascii="Times New Roman" w:hAnsi="Times New Roman" w:cs="Times New Roman"/>
          <w:color w:val="FF0000"/>
          <w:sz w:val="24"/>
          <w:szCs w:val="24"/>
        </w:rPr>
        <w:t>Statistical analysis was done using two-way ANOVA. *</w:t>
      </w:r>
      <w:r w:rsidR="00243416">
        <w:rPr>
          <w:rFonts w:ascii="Times New Roman" w:hAnsi="Times New Roman" w:cs="Times New Roman"/>
          <w:color w:val="FF0000"/>
          <w:sz w:val="24"/>
          <w:szCs w:val="24"/>
        </w:rPr>
        <w:t>*</w:t>
      </w:r>
      <w:r w:rsidR="00243416" w:rsidRPr="00AB4377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P &lt; </w:t>
      </w:r>
      <w:r w:rsidR="00243416">
        <w:rPr>
          <w:rFonts w:ascii="Times New Roman" w:hAnsi="Times New Roman" w:cs="Times New Roman"/>
          <w:color w:val="FF0000"/>
          <w:sz w:val="24"/>
          <w:szCs w:val="24"/>
        </w:rPr>
        <w:t>0.</w:t>
      </w:r>
      <w:r w:rsidR="00243416" w:rsidRPr="00AB4377">
        <w:rPr>
          <w:rFonts w:ascii="Times New Roman" w:hAnsi="Times New Roman" w:cs="Times New Roman"/>
          <w:color w:val="FF0000"/>
          <w:sz w:val="24"/>
          <w:szCs w:val="24"/>
        </w:rPr>
        <w:t>01.</w:t>
      </w:r>
      <w:bookmarkEnd w:id="2"/>
    </w:p>
    <w:p w14:paraId="46BADD33" w14:textId="5DE5BB0B" w:rsidR="001B5433" w:rsidRPr="005A54A9" w:rsidRDefault="005A54A9" w:rsidP="00AC18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A54A9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 w:rsidR="00970A55" w:rsidRPr="00EE4BD7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F</w:t>
      </w:r>
      <w:r w:rsidRPr="005A54A9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="001B5433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E4E93" w:rsidRPr="005A54A9">
        <w:rPr>
          <w:rFonts w:ascii="Times New Roman" w:hAnsi="Times New Roman" w:cs="Times New Roman"/>
          <w:sz w:val="24"/>
          <w:szCs w:val="24"/>
          <w:lang w:val="en-US"/>
        </w:rPr>
        <w:t>Pattern of tumor growth in LLC tumor-beari</w:t>
      </w:r>
      <w:r w:rsidR="002E102F" w:rsidRPr="005A54A9">
        <w:rPr>
          <w:rFonts w:ascii="Times New Roman" w:hAnsi="Times New Roman" w:cs="Times New Roman"/>
          <w:sz w:val="24"/>
          <w:szCs w:val="24"/>
          <w:lang w:val="en-US"/>
        </w:rPr>
        <w:t>ng</w:t>
      </w:r>
      <w:r w:rsidR="00BE4E93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mice</w:t>
      </w:r>
      <w:r w:rsidR="0075157B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from (D). </w:t>
      </w:r>
      <w:r w:rsidR="00BE4E93" w:rsidRPr="005A54A9">
        <w:rPr>
          <w:rFonts w:ascii="Times New Roman" w:hAnsi="Times New Roman" w:cs="Times New Roman"/>
          <w:sz w:val="24"/>
          <w:szCs w:val="24"/>
          <w:lang w:val="en-US"/>
        </w:rPr>
        <w:t>The red arrowheads represent the point of TFMG administration. Data are</w:t>
      </w:r>
      <w:r w:rsidR="002E102F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E4E93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presented as mean </w:t>
      </w:r>
      <w:r w:rsidR="002E102F" w:rsidRPr="005A54A9">
        <w:rPr>
          <w:rFonts w:ascii="Times New Roman" w:hAnsi="Times New Roman" w:cs="Times New Roman"/>
          <w:sz w:val="24"/>
          <w:szCs w:val="24"/>
          <w:lang w:val="en-US"/>
        </w:rPr>
        <w:t>±</w:t>
      </w:r>
      <w:r w:rsidR="00BE4E93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A0EED" w:rsidRPr="005A54A9">
        <w:rPr>
          <w:rFonts w:ascii="Times New Roman" w:hAnsi="Times New Roman" w:cs="Times New Roman"/>
          <w:sz w:val="24"/>
          <w:szCs w:val="24"/>
          <w:lang w:val="en-US"/>
        </w:rPr>
        <w:t>SD</w:t>
      </w:r>
      <w:r w:rsidR="00BE4E93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(n</w:t>
      </w:r>
      <w:r w:rsidR="00352DD1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E4E93" w:rsidRPr="005A54A9">
        <w:rPr>
          <w:rFonts w:ascii="Times New Roman" w:hAnsi="Times New Roman" w:cs="Times New Roman"/>
          <w:sz w:val="24"/>
          <w:szCs w:val="24"/>
          <w:lang w:val="en-US"/>
        </w:rPr>
        <w:t>≥</w:t>
      </w:r>
      <w:r w:rsidR="00352DD1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E4E93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9); </w:t>
      </w:r>
      <w:r w:rsidR="00BE4E93" w:rsidRPr="00BB2E1F">
        <w:rPr>
          <w:rFonts w:ascii="Times New Roman" w:hAnsi="Times New Roman" w:cs="Times New Roman"/>
          <w:color w:val="00B050"/>
          <w:sz w:val="24"/>
          <w:szCs w:val="24"/>
          <w:vertAlign w:val="superscript"/>
          <w:lang w:val="en-US"/>
        </w:rPr>
        <w:t>*</w:t>
      </w:r>
      <w:r w:rsidR="0075157B" w:rsidRPr="00BB2E1F">
        <w:rPr>
          <w:rFonts w:ascii="Times New Roman" w:hAnsi="Times New Roman" w:cs="Times New Roman"/>
          <w:color w:val="00B050"/>
          <w:sz w:val="24"/>
          <w:szCs w:val="24"/>
          <w:vertAlign w:val="superscript"/>
          <w:lang w:val="en-US"/>
        </w:rPr>
        <w:t>*</w:t>
      </w:r>
      <w:r w:rsidR="00352DD1" w:rsidRPr="005A54A9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="00352DD1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E4E93" w:rsidRPr="005A54A9">
        <w:rPr>
          <w:rFonts w:ascii="Times New Roman" w:hAnsi="Times New Roman" w:cs="Times New Roman"/>
          <w:sz w:val="24"/>
          <w:szCs w:val="24"/>
          <w:lang w:val="en-US"/>
        </w:rPr>
        <w:t>&lt; 0.01 vs PBS control.</w:t>
      </w:r>
      <w:r w:rsidR="002E102F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127FEF80" w14:textId="7431E5F1" w:rsidR="001B5433" w:rsidRPr="005A54A9" w:rsidRDefault="005A54A9" w:rsidP="00AC18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A54A9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 w:rsidR="00970A55" w:rsidRPr="00EE4BD7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G</w:t>
      </w:r>
      <w:r w:rsidRPr="005A54A9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="001B5433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E102F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Body weight patterns of LLC tumor-bearing mice from (D). </w:t>
      </w:r>
    </w:p>
    <w:p w14:paraId="005AEC30" w14:textId="2E26468F" w:rsidR="005A54A9" w:rsidRDefault="005A54A9" w:rsidP="00AC18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A54A9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 w:rsidR="00970A55" w:rsidRPr="00EE4BD7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H</w:t>
      </w:r>
      <w:r w:rsidRPr="005A54A9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="001B5433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E52FA" w:rsidRPr="005A54A9">
        <w:rPr>
          <w:rFonts w:ascii="Times New Roman" w:hAnsi="Times New Roman" w:cs="Times New Roman"/>
          <w:sz w:val="24"/>
          <w:szCs w:val="24"/>
          <w:lang w:val="en-US"/>
        </w:rPr>
        <w:t>Gross morphology of various organs of LLC tumor-bearing mice from (D).</w:t>
      </w:r>
    </w:p>
    <w:p w14:paraId="074D74D7" w14:textId="645D25B6" w:rsidR="00052760" w:rsidRDefault="00052760" w:rsidP="007F64E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08776DC4" w14:textId="631B67B9" w:rsidR="003D7A40" w:rsidRDefault="003D7A40" w:rsidP="007F64ED">
      <w:pPr>
        <w:spacing w:after="0" w:line="480" w:lineRule="auto"/>
        <w:jc w:val="both"/>
        <w:rPr>
          <w:rFonts w:ascii="Arial" w:hAnsi="Arial" w:cs="Arial"/>
          <w:b/>
          <w:sz w:val="16"/>
          <w:szCs w:val="24"/>
          <w:lang w:val="en-US"/>
        </w:rPr>
      </w:pPr>
      <w:r>
        <w:rPr>
          <w:rFonts w:ascii="Arial" w:hAnsi="Arial" w:cs="Arial"/>
          <w:b/>
          <w:noProof/>
          <w:sz w:val="16"/>
          <w:szCs w:val="24"/>
          <w:lang w:val="en-US"/>
        </w:rPr>
        <w:lastRenderedPageBreak/>
        <w:drawing>
          <wp:inline distT="0" distB="0" distL="0" distR="0" wp14:anchorId="21125A3E" wp14:editId="6B84D0AA">
            <wp:extent cx="5629701" cy="1303020"/>
            <wp:effectExtent l="0" t="0" r="9525" b="0"/>
            <wp:docPr id="11" name="Picture 11" descr="E:\Dropbox\Hyeonha\TFMG\JHH\Pharmacol&amp;therapeutic\Figures\Fig_images\Figure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ropbox\Hyeonha\TFMG\JHH\Pharmacol&amp;therapeutic\Figures\Fig_images\Figure S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62" b="20752"/>
                    <a:stretch/>
                  </pic:blipFill>
                  <pic:spPr bwMode="auto">
                    <a:xfrm>
                      <a:off x="0" y="0"/>
                      <a:ext cx="5631174" cy="130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6707CA" w14:textId="77777777" w:rsidR="001B5433" w:rsidRDefault="001B5433" w:rsidP="007F64ED">
      <w:pPr>
        <w:spacing w:after="0" w:line="480" w:lineRule="auto"/>
        <w:jc w:val="both"/>
        <w:rPr>
          <w:rFonts w:ascii="Arial" w:hAnsi="Arial" w:cs="Arial"/>
          <w:b/>
          <w:sz w:val="16"/>
          <w:szCs w:val="24"/>
          <w:lang w:val="en-US"/>
        </w:rPr>
      </w:pPr>
    </w:p>
    <w:p w14:paraId="490D0609" w14:textId="4AC6F6B8" w:rsidR="00D250D3" w:rsidRPr="005A54A9" w:rsidRDefault="00A729F7" w:rsidP="00AC180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A54A9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 w:rsidR="005A54A9" w:rsidRPr="005A54A9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62056C" w:rsidRPr="005A54A9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Pr="005A54A9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1B5433" w:rsidRPr="005A54A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  <w:r w:rsidRPr="005A54A9">
        <w:rPr>
          <w:rFonts w:ascii="Times New Roman" w:hAnsi="Times New Roman" w:cs="Times New Roman"/>
          <w:b/>
          <w:sz w:val="24"/>
          <w:szCs w:val="24"/>
          <w:lang w:val="en-US"/>
        </w:rPr>
        <w:t xml:space="preserve">Quantitative RT-PCR analysis </w:t>
      </w:r>
      <w:r w:rsidR="004B05BF" w:rsidRPr="005A54A9">
        <w:rPr>
          <w:rFonts w:ascii="Times New Roman" w:hAnsi="Times New Roman" w:cs="Times New Roman"/>
          <w:b/>
          <w:sz w:val="24"/>
          <w:szCs w:val="24"/>
          <w:lang w:val="en-US"/>
        </w:rPr>
        <w:t xml:space="preserve">of </w:t>
      </w:r>
      <w:r w:rsidR="003F28E5" w:rsidRPr="005A54A9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="004B05BF" w:rsidRPr="005A54A9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="003F28E5" w:rsidRPr="005A54A9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4B05BF" w:rsidRPr="005A54A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transfected with </w:t>
      </w:r>
      <w:r w:rsidR="003F28E5" w:rsidRPr="005A54A9">
        <w:rPr>
          <w:rFonts w:ascii="Times New Roman" w:hAnsi="Times New Roman" w:cs="Times New Roman"/>
          <w:b/>
          <w:sz w:val="24"/>
          <w:szCs w:val="24"/>
          <w:lang w:val="en-US"/>
        </w:rPr>
        <w:t xml:space="preserve">indicated </w:t>
      </w:r>
      <w:r w:rsidRPr="005A54A9">
        <w:rPr>
          <w:rFonts w:ascii="Times New Roman" w:hAnsi="Times New Roman" w:cs="Times New Roman"/>
          <w:b/>
          <w:sz w:val="24"/>
          <w:szCs w:val="24"/>
          <w:lang w:val="en-US"/>
        </w:rPr>
        <w:t>siRNA</w:t>
      </w:r>
      <w:r w:rsidR="003F28E5" w:rsidRPr="005A54A9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5440D6" w:rsidRPr="005A54A9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14:paraId="6052EE55" w14:textId="06F6998F" w:rsidR="00A729F7" w:rsidRPr="005A54A9" w:rsidRDefault="005440D6" w:rsidP="00AC18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ECs were transfected with siPAR-1, siPAR-2, or siPAR-3 </w:t>
      </w:r>
      <w:r w:rsidR="0089374E" w:rsidRPr="005A54A9">
        <w:rPr>
          <w:rFonts w:ascii="Times New Roman" w:hAnsi="Times New Roman" w:cs="Times New Roman"/>
          <w:sz w:val="24"/>
          <w:szCs w:val="24"/>
          <w:lang w:val="en-US"/>
        </w:rPr>
        <w:t>at 10, 20 and 50 nM</w:t>
      </w:r>
      <w:r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for 48 h</w:t>
      </w:r>
      <w:r w:rsidR="0089374E" w:rsidRPr="005A54A9">
        <w:rPr>
          <w:rFonts w:ascii="Times New Roman" w:hAnsi="Times New Roman" w:cs="Times New Roman"/>
          <w:sz w:val="24"/>
          <w:szCs w:val="24"/>
          <w:lang w:val="en-US"/>
        </w:rPr>
        <w:t>, respectively</w:t>
      </w:r>
      <w:r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4F04A3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Data are presented as mean ± </w:t>
      </w:r>
      <w:r w:rsidR="000A0EED" w:rsidRPr="005A54A9">
        <w:rPr>
          <w:rFonts w:ascii="Times New Roman" w:hAnsi="Times New Roman" w:cs="Times New Roman"/>
          <w:sz w:val="24"/>
          <w:szCs w:val="24"/>
          <w:lang w:val="en-US"/>
        </w:rPr>
        <w:t>SD</w:t>
      </w:r>
      <w:r w:rsidR="004F04A3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(n</w:t>
      </w:r>
      <w:r w:rsidR="00352DD1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F04A3" w:rsidRPr="005A54A9">
        <w:rPr>
          <w:rFonts w:ascii="Times New Roman" w:hAnsi="Times New Roman" w:cs="Times New Roman"/>
          <w:sz w:val="24"/>
          <w:szCs w:val="24"/>
          <w:lang w:val="en-US"/>
        </w:rPr>
        <w:t>=</w:t>
      </w:r>
      <w:r w:rsidR="00352DD1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A0EED" w:rsidRPr="005A54A9">
        <w:rPr>
          <w:rFonts w:ascii="Times New Roman" w:hAnsi="Times New Roman" w:cs="Times New Roman"/>
          <w:sz w:val="24"/>
          <w:szCs w:val="24"/>
          <w:lang w:val="en-US"/>
        </w:rPr>
        <w:t>3).</w:t>
      </w:r>
      <w:r w:rsidR="004F04A3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F04A3" w:rsidRPr="00EE4BD7">
        <w:rPr>
          <w:rFonts w:ascii="Times New Roman" w:hAnsi="Times New Roman" w:cs="Times New Roman"/>
          <w:color w:val="FF0000"/>
          <w:sz w:val="24"/>
          <w:szCs w:val="24"/>
          <w:vertAlign w:val="superscript"/>
          <w:lang w:val="en-US"/>
        </w:rPr>
        <w:t>*</w:t>
      </w:r>
      <w:r w:rsidR="001D54AA" w:rsidRPr="00EE4BD7">
        <w:rPr>
          <w:rFonts w:ascii="Times New Roman" w:hAnsi="Times New Roman" w:cs="Times New Roman"/>
          <w:color w:val="FF0000"/>
          <w:sz w:val="24"/>
          <w:szCs w:val="24"/>
          <w:vertAlign w:val="superscript"/>
          <w:lang w:val="en-US"/>
        </w:rPr>
        <w:t>**</w:t>
      </w:r>
      <w:r w:rsidR="00352DD1" w:rsidRPr="005A54A9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="004F04A3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&lt; 0.001</w:t>
      </w:r>
      <w:r w:rsidR="000A0EED" w:rsidRPr="005A54A9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2450D9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52DD1" w:rsidRPr="00EE4BD7">
        <w:rPr>
          <w:rFonts w:ascii="Times New Roman" w:hAnsi="Times New Roman" w:cs="Times New Roman"/>
          <w:color w:val="FF0000"/>
          <w:sz w:val="24"/>
          <w:szCs w:val="24"/>
          <w:vertAlign w:val="superscript"/>
          <w:lang w:val="en-US"/>
        </w:rPr>
        <w:t>****</w:t>
      </w:r>
      <w:r w:rsidR="00352DD1" w:rsidRPr="005A54A9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="001D54AA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&lt; 0.00</w:t>
      </w:r>
      <w:r w:rsidR="002816B7" w:rsidRPr="005A54A9">
        <w:rPr>
          <w:rFonts w:ascii="Times New Roman" w:hAnsi="Times New Roman" w:cs="Times New Roman"/>
          <w:sz w:val="24"/>
          <w:szCs w:val="24"/>
          <w:lang w:val="en-US"/>
        </w:rPr>
        <w:t>0</w:t>
      </w:r>
      <w:r w:rsidR="001D54AA" w:rsidRPr="005A54A9">
        <w:rPr>
          <w:rFonts w:ascii="Times New Roman" w:hAnsi="Times New Roman" w:cs="Times New Roman"/>
          <w:sz w:val="24"/>
          <w:szCs w:val="24"/>
          <w:lang w:val="en-US"/>
        </w:rPr>
        <w:t>1 vs control siRNA</w:t>
      </w:r>
      <w:r w:rsidR="004F04A3" w:rsidRPr="005A54A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0142918" w14:textId="77777777" w:rsidR="003D7A40" w:rsidRPr="005A54A9" w:rsidRDefault="003D7A40" w:rsidP="007F64E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A54A9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558064FB" w14:textId="045BEFF5" w:rsidR="003D7A40" w:rsidRDefault="003D7A40" w:rsidP="007F64ED">
      <w:pPr>
        <w:spacing w:after="0" w:line="480" w:lineRule="auto"/>
        <w:jc w:val="both"/>
        <w:rPr>
          <w:rFonts w:ascii="Arial" w:hAnsi="Arial" w:cs="Arial"/>
          <w:b/>
          <w:sz w:val="16"/>
          <w:szCs w:val="24"/>
          <w:lang w:val="en-US"/>
        </w:rPr>
      </w:pPr>
      <w:r>
        <w:rPr>
          <w:rFonts w:ascii="Arial" w:hAnsi="Arial" w:cs="Arial"/>
          <w:b/>
          <w:noProof/>
          <w:sz w:val="16"/>
          <w:szCs w:val="24"/>
          <w:lang w:val="en-US"/>
        </w:rPr>
        <w:lastRenderedPageBreak/>
        <w:drawing>
          <wp:inline distT="0" distB="0" distL="0" distR="0" wp14:anchorId="09639902" wp14:editId="613BFD8A">
            <wp:extent cx="5554373" cy="2572264"/>
            <wp:effectExtent l="0" t="0" r="8255" b="0"/>
            <wp:docPr id="12" name="Picture 12" descr="E:\Dropbox\Hyeonha\TFMG\JHH\Pharmacol&amp;therapeutic\Figures\Fig_images\Figure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ropbox\Hyeonha\TFMG\JHH\Pharmacol&amp;therapeutic\Figures\Fig_images\Figure S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" r="1660" b="10881"/>
                    <a:stretch/>
                  </pic:blipFill>
                  <pic:spPr bwMode="auto">
                    <a:xfrm>
                      <a:off x="0" y="0"/>
                      <a:ext cx="5555105" cy="257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12B7F" w14:textId="77777777" w:rsidR="001B5433" w:rsidRDefault="001B5433" w:rsidP="007F64ED">
      <w:pPr>
        <w:spacing w:after="0" w:line="480" w:lineRule="auto"/>
        <w:jc w:val="both"/>
        <w:rPr>
          <w:rFonts w:ascii="Arial" w:hAnsi="Arial" w:cs="Arial"/>
          <w:b/>
          <w:sz w:val="16"/>
          <w:szCs w:val="24"/>
          <w:lang w:val="en-US"/>
        </w:rPr>
      </w:pPr>
    </w:p>
    <w:p w14:paraId="409B9F7A" w14:textId="1ED2B4CE" w:rsidR="00D250D3" w:rsidRPr="005A54A9" w:rsidRDefault="004B05BF" w:rsidP="00AC180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A54A9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 w:rsidR="005A54A9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D250D3" w:rsidRPr="005A54A9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Pr="005A54A9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1B5433" w:rsidRPr="005A54A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  <w:r w:rsidRPr="005A54A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5440D6" w:rsidRPr="005A54A9">
        <w:rPr>
          <w:rFonts w:ascii="Times New Roman" w:hAnsi="Times New Roman" w:cs="Times New Roman"/>
          <w:b/>
          <w:sz w:val="24"/>
          <w:szCs w:val="24"/>
          <w:lang w:val="en-US"/>
        </w:rPr>
        <w:t xml:space="preserve">Quantitative RT-PCR analysis of ECs transfected with indicated siRNAs. </w:t>
      </w:r>
    </w:p>
    <w:p w14:paraId="4B525BE6" w14:textId="438E793A" w:rsidR="003D7A40" w:rsidRPr="005A54A9" w:rsidRDefault="005A54A9" w:rsidP="00AC18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A54A9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 w:rsidR="003D7A40" w:rsidRPr="005A54A9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5A54A9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="00565ECE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ECs were transfected with</w:t>
      </w:r>
      <w:r w:rsidR="00DC1E87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siTie2 at 10, 20 and 50 nM concentration</w:t>
      </w:r>
      <w:r w:rsidR="00565ECE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for 48 h, respectively.</w:t>
      </w:r>
    </w:p>
    <w:p w14:paraId="6E9C34D3" w14:textId="7972DEC8" w:rsidR="003D7A40" w:rsidRPr="005A54A9" w:rsidRDefault="005A54A9" w:rsidP="00AC18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A54A9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 w:rsidR="00565ECE" w:rsidRPr="005A54A9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Pr="005A54A9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65ECE" w:rsidRPr="005A54A9">
        <w:rPr>
          <w:rFonts w:ascii="Times New Roman" w:hAnsi="Times New Roman" w:cs="Times New Roman"/>
          <w:sz w:val="24"/>
          <w:szCs w:val="24"/>
          <w:lang w:val="en-US"/>
        </w:rPr>
        <w:t>ECs were transfected with siG</w:t>
      </w:r>
      <w:r w:rsidR="00565ECE" w:rsidRPr="005A54A9">
        <w:rPr>
          <w:rFonts w:ascii="Times New Roman" w:hAnsi="Times New Roman" w:cs="Times New Roman"/>
          <w:sz w:val="24"/>
          <w:szCs w:val="24"/>
          <w:lang w:val="en-US"/>
        </w:rPr>
        <w:sym w:font="Symbol" w:char="F061"/>
      </w:r>
      <w:r w:rsidR="00565ECE" w:rsidRPr="005A54A9">
        <w:rPr>
          <w:rFonts w:ascii="Times New Roman" w:hAnsi="Times New Roman" w:cs="Times New Roman"/>
          <w:sz w:val="24"/>
          <w:szCs w:val="24"/>
          <w:lang w:val="en-US"/>
        </w:rPr>
        <w:t>13, siG</w:t>
      </w:r>
      <w:r w:rsidR="00565ECE" w:rsidRPr="005A54A9">
        <w:rPr>
          <w:rFonts w:ascii="Times New Roman" w:hAnsi="Times New Roman" w:cs="Times New Roman"/>
          <w:sz w:val="24"/>
          <w:szCs w:val="24"/>
          <w:lang w:val="en-US"/>
        </w:rPr>
        <w:sym w:font="Symbol" w:char="F061"/>
      </w:r>
      <w:r w:rsidR="00565ECE" w:rsidRPr="005A54A9">
        <w:rPr>
          <w:rFonts w:ascii="Times New Roman" w:hAnsi="Times New Roman" w:cs="Times New Roman"/>
          <w:sz w:val="24"/>
          <w:szCs w:val="24"/>
          <w:lang w:val="en-US"/>
        </w:rPr>
        <w:t>i, or siG</w:t>
      </w:r>
      <w:r w:rsidR="00565ECE" w:rsidRPr="005A54A9">
        <w:rPr>
          <w:rFonts w:ascii="Times New Roman" w:hAnsi="Times New Roman" w:cs="Times New Roman"/>
          <w:sz w:val="24"/>
          <w:szCs w:val="24"/>
          <w:lang w:val="en-US"/>
        </w:rPr>
        <w:sym w:font="Symbol" w:char="F061"/>
      </w:r>
      <w:r w:rsidR="00565ECE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q at 10, </w:t>
      </w:r>
      <w:r w:rsidR="00DC1E87" w:rsidRPr="005A54A9">
        <w:rPr>
          <w:rFonts w:ascii="Times New Roman" w:hAnsi="Times New Roman" w:cs="Times New Roman"/>
          <w:sz w:val="24"/>
          <w:szCs w:val="24"/>
          <w:lang w:val="en-US"/>
        </w:rPr>
        <w:t>100</w:t>
      </w:r>
      <w:r w:rsidR="00565ECE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DC1E87" w:rsidRPr="005A54A9">
        <w:rPr>
          <w:rFonts w:ascii="Times New Roman" w:hAnsi="Times New Roman" w:cs="Times New Roman"/>
          <w:sz w:val="24"/>
          <w:szCs w:val="24"/>
          <w:lang w:val="en-US"/>
        </w:rPr>
        <w:t>200</w:t>
      </w:r>
      <w:r w:rsidR="00565ECE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nM for 48 h, respectively. Data are presented as mean ± </w:t>
      </w:r>
      <w:r w:rsidR="000A0EED" w:rsidRPr="005A54A9">
        <w:rPr>
          <w:rFonts w:ascii="Times New Roman" w:hAnsi="Times New Roman" w:cs="Times New Roman"/>
          <w:sz w:val="24"/>
          <w:szCs w:val="24"/>
          <w:lang w:val="en-US"/>
        </w:rPr>
        <w:t>SD</w:t>
      </w:r>
      <w:r w:rsidR="00565ECE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(n</w:t>
      </w:r>
      <w:r w:rsidR="001B5433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65ECE" w:rsidRPr="005A54A9">
        <w:rPr>
          <w:rFonts w:ascii="Times New Roman" w:hAnsi="Times New Roman" w:cs="Times New Roman"/>
          <w:sz w:val="24"/>
          <w:szCs w:val="24"/>
          <w:lang w:val="en-US"/>
        </w:rPr>
        <w:t>=</w:t>
      </w:r>
      <w:r w:rsidR="001B5433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A0EED" w:rsidRPr="005A54A9">
        <w:rPr>
          <w:rFonts w:ascii="Times New Roman" w:hAnsi="Times New Roman" w:cs="Times New Roman"/>
          <w:sz w:val="24"/>
          <w:szCs w:val="24"/>
          <w:lang w:val="en-US"/>
        </w:rPr>
        <w:t>3).</w:t>
      </w:r>
      <w:r w:rsidR="00565ECE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65ECE" w:rsidRPr="00EE4BD7">
        <w:rPr>
          <w:rFonts w:ascii="Times New Roman" w:hAnsi="Times New Roman" w:cs="Times New Roman"/>
          <w:color w:val="FF0000"/>
          <w:sz w:val="24"/>
          <w:szCs w:val="24"/>
          <w:vertAlign w:val="superscript"/>
          <w:lang w:val="en-US"/>
        </w:rPr>
        <w:t>*</w:t>
      </w:r>
      <w:r w:rsidR="00565ECE" w:rsidRPr="005A54A9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="00565ECE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&lt; 0.0</w:t>
      </w:r>
      <w:r w:rsidR="00352DD1" w:rsidRPr="005A54A9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0A0EED" w:rsidRPr="005A54A9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352DD1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52DD1" w:rsidRPr="00EE4BD7">
        <w:rPr>
          <w:rFonts w:ascii="Times New Roman" w:hAnsi="Times New Roman" w:cs="Times New Roman"/>
          <w:color w:val="FF0000"/>
          <w:sz w:val="24"/>
          <w:szCs w:val="24"/>
          <w:vertAlign w:val="superscript"/>
          <w:lang w:val="en-US"/>
        </w:rPr>
        <w:t>**</w:t>
      </w:r>
      <w:r w:rsidR="00352DD1" w:rsidRPr="005A54A9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="00352DD1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A0EED" w:rsidRPr="005A54A9">
        <w:rPr>
          <w:rFonts w:ascii="Times New Roman" w:hAnsi="Times New Roman" w:cs="Times New Roman"/>
          <w:sz w:val="24"/>
          <w:szCs w:val="24"/>
          <w:lang w:val="en-US"/>
        </w:rPr>
        <w:t>&lt; 0.01;</w:t>
      </w:r>
      <w:r w:rsidR="00565ECE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52DD1" w:rsidRPr="00EE4BD7">
        <w:rPr>
          <w:rFonts w:ascii="Times New Roman" w:hAnsi="Times New Roman" w:cs="Times New Roman"/>
          <w:color w:val="FF0000"/>
          <w:sz w:val="24"/>
          <w:szCs w:val="24"/>
          <w:vertAlign w:val="superscript"/>
          <w:lang w:val="en-US"/>
        </w:rPr>
        <w:t>***</w:t>
      </w:r>
      <w:r w:rsidR="00352DD1" w:rsidRPr="005A54A9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="000A0EED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&lt; 0.001;</w:t>
      </w:r>
      <w:r w:rsidR="00352DD1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52DD1" w:rsidRPr="00EE4BD7">
        <w:rPr>
          <w:rFonts w:ascii="Times New Roman" w:hAnsi="Times New Roman" w:cs="Times New Roman"/>
          <w:color w:val="FF0000"/>
          <w:sz w:val="24"/>
          <w:szCs w:val="24"/>
          <w:vertAlign w:val="superscript"/>
          <w:lang w:val="en-US"/>
        </w:rPr>
        <w:t>****</w:t>
      </w:r>
      <w:r w:rsidR="00352DD1" w:rsidRPr="005A54A9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="00352DD1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&lt; 0.0</w:t>
      </w:r>
      <w:r w:rsidR="002816B7" w:rsidRPr="005A54A9">
        <w:rPr>
          <w:rFonts w:ascii="Times New Roman" w:hAnsi="Times New Roman" w:cs="Times New Roman"/>
          <w:sz w:val="24"/>
          <w:szCs w:val="24"/>
          <w:lang w:val="en-US"/>
        </w:rPr>
        <w:t>0</w:t>
      </w:r>
      <w:r w:rsidR="00352DD1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01 </w:t>
      </w:r>
      <w:r w:rsidR="00565ECE" w:rsidRPr="005A54A9">
        <w:rPr>
          <w:rFonts w:ascii="Times New Roman" w:hAnsi="Times New Roman" w:cs="Times New Roman"/>
          <w:sz w:val="24"/>
          <w:szCs w:val="24"/>
          <w:lang w:val="en-US"/>
        </w:rPr>
        <w:t>vs control siRNA</w:t>
      </w:r>
      <w:r w:rsidR="002816B7" w:rsidRPr="005A54A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0C7667F" w14:textId="77777777" w:rsidR="003D7A40" w:rsidRPr="005A54A9" w:rsidRDefault="003D7A40" w:rsidP="007F64E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A54A9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7EF0DA14" w14:textId="6BBE8864" w:rsidR="00D250D3" w:rsidRDefault="003D7A40" w:rsidP="007F64ED">
      <w:pPr>
        <w:spacing w:after="0" w:line="480" w:lineRule="auto"/>
        <w:jc w:val="both"/>
        <w:rPr>
          <w:rFonts w:ascii="Arial" w:hAnsi="Arial" w:cs="Arial"/>
          <w:b/>
          <w:sz w:val="16"/>
          <w:szCs w:val="24"/>
          <w:lang w:val="en-US"/>
        </w:rPr>
      </w:pPr>
      <w:r>
        <w:rPr>
          <w:rFonts w:ascii="Arial" w:hAnsi="Arial" w:cs="Arial"/>
          <w:b/>
          <w:noProof/>
          <w:sz w:val="16"/>
          <w:szCs w:val="24"/>
          <w:lang w:val="en-US"/>
        </w:rPr>
        <w:lastRenderedPageBreak/>
        <w:drawing>
          <wp:inline distT="0" distB="0" distL="0" distR="0" wp14:anchorId="01A3E15C" wp14:editId="66C3049E">
            <wp:extent cx="4762441" cy="4878070"/>
            <wp:effectExtent l="0" t="0" r="635" b="0"/>
            <wp:docPr id="13" name="Picture 13" descr="E:\Dropbox\Hyeonha\TFMG\JHH\Pharmacol&amp;therapeutic\Figures\Fig_images\Figure 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ropbox\Hyeonha\TFMG\JHH\Pharmacol&amp;therapeutic\Figures\Fig_images\Figure S5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0" r="3329" b="4540"/>
                    <a:stretch/>
                  </pic:blipFill>
                  <pic:spPr bwMode="auto">
                    <a:xfrm>
                      <a:off x="0" y="0"/>
                      <a:ext cx="4763422" cy="487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835BB1" w14:textId="77777777" w:rsidR="001B5433" w:rsidRPr="00B604DD" w:rsidRDefault="001B5433" w:rsidP="007F64ED">
      <w:pPr>
        <w:spacing w:after="0" w:line="480" w:lineRule="auto"/>
        <w:jc w:val="both"/>
        <w:rPr>
          <w:rFonts w:ascii="Arial" w:hAnsi="Arial" w:cs="Arial"/>
          <w:b/>
          <w:sz w:val="16"/>
          <w:szCs w:val="24"/>
          <w:lang w:val="en-US"/>
        </w:rPr>
      </w:pPr>
    </w:p>
    <w:p w14:paraId="7AEF3A1C" w14:textId="25CCEE61" w:rsidR="00D250D3" w:rsidRPr="005A54A9" w:rsidRDefault="001B7491" w:rsidP="00AC180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A54A9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 w:rsidR="005A54A9" w:rsidRPr="005A54A9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D250D3" w:rsidRPr="005A54A9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Pr="005A54A9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1B5433" w:rsidRPr="005A54A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  <w:r w:rsidRPr="005A54A9">
        <w:rPr>
          <w:rFonts w:ascii="Times New Roman" w:hAnsi="Times New Roman" w:cs="Times New Roman"/>
          <w:b/>
          <w:sz w:val="24"/>
          <w:szCs w:val="24"/>
          <w:lang w:val="en-US"/>
        </w:rPr>
        <w:t>Pericyte Tie2 has no direct role in TFMG-induced vascular normalization.</w:t>
      </w:r>
    </w:p>
    <w:p w14:paraId="076FA1D7" w14:textId="57A8102E" w:rsidR="003D7A40" w:rsidRPr="005A54A9" w:rsidRDefault="005A54A9" w:rsidP="00AC18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A54A9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 w:rsidR="003D7A40" w:rsidRPr="005A54A9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5A54A9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="001B7491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Schematic diagram of pericyte/cancer cell (PC) co-cultures. C3H/10T1/2, clone 8 (2.5 × 10</w:t>
      </w:r>
      <w:r w:rsidR="001B7491" w:rsidRPr="005A54A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5</w:t>
      </w:r>
      <w:r w:rsidR="001B7491" w:rsidRPr="005A54A9">
        <w:rPr>
          <w:rFonts w:ascii="Times New Roman" w:hAnsi="Times New Roman" w:cs="Times New Roman"/>
          <w:sz w:val="24"/>
          <w:szCs w:val="24"/>
          <w:lang w:val="en-US"/>
        </w:rPr>
        <w:t>) cells were seeded over 12-well transwell membrane inserts while LLC (2.5 × 10</w:t>
      </w:r>
      <w:r w:rsidR="001B7491" w:rsidRPr="005A54A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5</w:t>
      </w:r>
      <w:r w:rsidR="001B7491" w:rsidRPr="005A54A9">
        <w:rPr>
          <w:rFonts w:ascii="Times New Roman" w:hAnsi="Times New Roman" w:cs="Times New Roman"/>
          <w:sz w:val="24"/>
          <w:szCs w:val="24"/>
          <w:lang w:val="en-US"/>
        </w:rPr>
        <w:t>) cells were seeded inside the 12-well plates.</w:t>
      </w:r>
    </w:p>
    <w:p w14:paraId="04836EFF" w14:textId="2E9E6354" w:rsidR="003D7A40" w:rsidRPr="005A54A9" w:rsidRDefault="005A54A9" w:rsidP="00AC18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A54A9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 w:rsidR="001B7491" w:rsidRPr="005A54A9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Pr="005A54A9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="001B7491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Schematic diagram of pericyte/endothelial/cancer cell (PEC) co-cultures. C3H10T1/2, clone 8 (2.5 × 10</w:t>
      </w:r>
      <w:r w:rsidR="001B7491" w:rsidRPr="005A54A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5</w:t>
      </w:r>
      <w:r w:rsidR="001B7491" w:rsidRPr="005A54A9">
        <w:rPr>
          <w:rFonts w:ascii="Times New Roman" w:hAnsi="Times New Roman" w:cs="Times New Roman"/>
          <w:sz w:val="24"/>
          <w:szCs w:val="24"/>
          <w:lang w:val="en-US"/>
        </w:rPr>
        <w:t>) cells were seeded on the lower surface of 12-well transwell membrane inserts while EA.hy926 (5 × 10</w:t>
      </w:r>
      <w:r w:rsidR="001B7491" w:rsidRPr="005A54A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5</w:t>
      </w:r>
      <w:r w:rsidR="001B7491" w:rsidRPr="005A54A9">
        <w:rPr>
          <w:rFonts w:ascii="Times New Roman" w:hAnsi="Times New Roman" w:cs="Times New Roman"/>
          <w:sz w:val="24"/>
          <w:szCs w:val="24"/>
          <w:lang w:val="en-US"/>
        </w:rPr>
        <w:t>) cells were seeded on the upper surface of the, and LLC cells were seeded inside the 12-well plates.</w:t>
      </w:r>
    </w:p>
    <w:p w14:paraId="289482F5" w14:textId="7D68270C" w:rsidR="003D7A40" w:rsidRPr="005A54A9" w:rsidRDefault="005A54A9" w:rsidP="00AC18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A54A9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 w:rsidR="001B7491" w:rsidRPr="005A54A9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5A54A9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="001B5433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B7491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Permeability assay of TFMG using PC co-cultures. PC co-cultures were treated with TFMG (100 nM) and the permeability (%) of FITC-dextran was determined against untreated control co-cultures. B, blank (no C3H/10T1/2, no LLC); P, pericyte only (C3H/10T1/2 cells seeded onto the transwell membrane, no LLC); </w:t>
      </w:r>
      <w:r w:rsidR="001B7491" w:rsidRPr="00BB2E1F">
        <w:rPr>
          <w:rFonts w:ascii="Times New Roman" w:hAnsi="Times New Roman" w:cs="Times New Roman"/>
          <w:color w:val="00B050"/>
          <w:sz w:val="24"/>
          <w:szCs w:val="24"/>
          <w:vertAlign w:val="superscript"/>
          <w:lang w:val="en-US"/>
        </w:rPr>
        <w:t>*</w:t>
      </w:r>
      <w:r w:rsidR="001B7491" w:rsidRPr="005A54A9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="001B7491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&lt; 0.0001 vs B; </w:t>
      </w:r>
      <w:r w:rsidR="001B7491" w:rsidRPr="005A54A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 w:rsidR="001B7491" w:rsidRPr="005A54A9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="001B7491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&lt; 0.0001 vs P; ns, no significant difference vs Ctrl (n</w:t>
      </w:r>
      <w:r w:rsidR="002816B7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B7491" w:rsidRPr="005A54A9">
        <w:rPr>
          <w:rFonts w:ascii="Times New Roman" w:hAnsi="Times New Roman" w:cs="Times New Roman"/>
          <w:sz w:val="24"/>
          <w:szCs w:val="24"/>
          <w:lang w:val="en-US"/>
        </w:rPr>
        <w:t>=</w:t>
      </w:r>
      <w:r w:rsidR="002816B7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B7491" w:rsidRPr="005A54A9">
        <w:rPr>
          <w:rFonts w:ascii="Times New Roman" w:hAnsi="Times New Roman" w:cs="Times New Roman"/>
          <w:sz w:val="24"/>
          <w:szCs w:val="24"/>
          <w:lang w:val="en-US"/>
        </w:rPr>
        <w:t>3).</w:t>
      </w:r>
    </w:p>
    <w:p w14:paraId="06620CA3" w14:textId="02B3158A" w:rsidR="003D7A40" w:rsidRPr="005A54A9" w:rsidRDefault="005A54A9" w:rsidP="00AC18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866A0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(</w:t>
      </w:r>
      <w:r w:rsidR="001B7491" w:rsidRPr="002866A0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2866A0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="001B7491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B5433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B7491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Effects of siRNA-mediated pericyte PAR-1, PAR-2, PAR-3, and Tie2 silencing on TFMG-induced reduction of in vitro permeability. PEC co-cultures, with or without siRNA-mediated silencing of endothelial PAR-1, PAR-2 or PAR-3, were treated with 100 nM TFMG for 24 h, and the permeability (%) of FITC-dextran was determined against untreated control co-cultures. B, blank; PE, pericyte/endothelial cell co-culture; </w:t>
      </w:r>
      <w:r w:rsidR="001B7491" w:rsidRPr="00BB2E1F">
        <w:rPr>
          <w:rFonts w:ascii="Times New Roman" w:hAnsi="Times New Roman" w:cs="Times New Roman"/>
          <w:color w:val="00B050"/>
          <w:sz w:val="24"/>
          <w:szCs w:val="24"/>
          <w:vertAlign w:val="superscript"/>
          <w:lang w:val="en-US"/>
        </w:rPr>
        <w:t>*</w:t>
      </w:r>
      <w:r w:rsidR="001B7491" w:rsidRPr="002866A0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="001B7491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&lt; 0.001 vs untreated control PEC co-cultures; ns, no significant difference vs TFMG-treated PEC co-cultures with or without siNC silencing (n</w:t>
      </w:r>
      <w:r w:rsidR="002816B7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B7491" w:rsidRPr="005A54A9">
        <w:rPr>
          <w:rFonts w:ascii="Times New Roman" w:hAnsi="Times New Roman" w:cs="Times New Roman"/>
          <w:sz w:val="24"/>
          <w:szCs w:val="24"/>
          <w:lang w:val="en-US"/>
        </w:rPr>
        <w:t>=</w:t>
      </w:r>
      <w:r w:rsidR="002816B7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B7491" w:rsidRPr="005A54A9">
        <w:rPr>
          <w:rFonts w:ascii="Times New Roman" w:hAnsi="Times New Roman" w:cs="Times New Roman"/>
          <w:sz w:val="24"/>
          <w:szCs w:val="24"/>
          <w:lang w:val="en-US"/>
        </w:rPr>
        <w:t>3).</w:t>
      </w:r>
    </w:p>
    <w:p w14:paraId="0D72F24C" w14:textId="6829C698" w:rsidR="00457F8C" w:rsidRPr="005A54A9" w:rsidRDefault="002866A0" w:rsidP="00AC18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866A0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 w:rsidR="001B7491" w:rsidRPr="002866A0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2866A0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="001B5433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B7491" w:rsidRPr="005A54A9">
        <w:rPr>
          <w:rFonts w:ascii="Times New Roman" w:hAnsi="Times New Roman" w:cs="Times New Roman"/>
          <w:sz w:val="24"/>
          <w:szCs w:val="24"/>
          <w:lang w:val="en-US"/>
        </w:rPr>
        <w:t>Western blot analysis to evaluate levels of p-Tie2, Tie2, p-Akt, and Akt in pericytes following TFMG treatment. C3H/10T1/2, clone 8 cell monocultures were treated with 100 nM of TFMG for 15, 60, and 120 min and levels of p-Tie2, Tie2, p-Akt, and Akt were determined by Western blotting</w:t>
      </w:r>
      <w:r w:rsidR="002816B7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 w:rsidR="002816B7" w:rsidRPr="00EE4BD7">
        <w:rPr>
          <w:rFonts w:ascii="Times New Roman" w:hAnsi="Times New Roman" w:cs="Times New Roman"/>
          <w:color w:val="FF0000"/>
          <w:sz w:val="24"/>
          <w:szCs w:val="24"/>
          <w:vertAlign w:val="superscript"/>
          <w:lang w:val="en-US"/>
        </w:rPr>
        <w:t>*</w:t>
      </w:r>
      <w:r w:rsidR="002816B7" w:rsidRPr="002866A0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="002816B7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&lt; 0.05, and </w:t>
      </w:r>
      <w:r w:rsidR="002816B7" w:rsidRPr="00EE4BD7">
        <w:rPr>
          <w:rFonts w:ascii="Times New Roman" w:hAnsi="Times New Roman" w:cs="Times New Roman"/>
          <w:color w:val="FF0000"/>
          <w:sz w:val="24"/>
          <w:szCs w:val="24"/>
          <w:vertAlign w:val="superscript"/>
          <w:lang w:val="en-US"/>
        </w:rPr>
        <w:t>****</w:t>
      </w:r>
      <w:r w:rsidR="002816B7" w:rsidRPr="002866A0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="002816B7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&lt; 0.0001 vs control</w:t>
      </w:r>
      <w:r w:rsidR="001B7491" w:rsidRPr="005A54A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D1D49DA" w14:textId="77777777" w:rsidR="00457F8C" w:rsidRPr="005A54A9" w:rsidRDefault="00457F8C" w:rsidP="007F64E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A54A9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2CEE31B6" w14:textId="6B0DF0D2" w:rsidR="0069703E" w:rsidRDefault="0063643A" w:rsidP="007F64ED">
      <w:pPr>
        <w:spacing w:after="0" w:line="480" w:lineRule="auto"/>
        <w:jc w:val="both"/>
        <w:rPr>
          <w:rFonts w:ascii="Arial" w:hAnsi="Arial" w:cs="Arial"/>
          <w:b/>
          <w:sz w:val="16"/>
          <w:szCs w:val="24"/>
          <w:lang w:val="en-US"/>
        </w:rPr>
      </w:pPr>
      <w:r>
        <w:rPr>
          <w:rFonts w:ascii="Arial" w:hAnsi="Arial" w:cs="Arial" w:hint="eastAsia"/>
          <w:b/>
          <w:noProof/>
          <w:sz w:val="16"/>
          <w:szCs w:val="24"/>
          <w:lang w:val="en-US"/>
        </w:rPr>
        <w:lastRenderedPageBreak/>
        <w:drawing>
          <wp:inline distT="0" distB="0" distL="0" distR="0" wp14:anchorId="14E5A5C2" wp14:editId="0E31798A">
            <wp:extent cx="5495742" cy="5677231"/>
            <wp:effectExtent l="0" t="0" r="0" b="0"/>
            <wp:docPr id="7" name="Picture 7" descr="E:\Dropbox\Hyeonha\TFMG\JHH\J_hematology and oncology\Figures\Figure 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ropbox\Hyeonha\TFMG\JHH\J_hematology and oncology\Figures\Figure S6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71"/>
                    <a:stretch/>
                  </pic:blipFill>
                  <pic:spPr bwMode="auto">
                    <a:xfrm>
                      <a:off x="0" y="0"/>
                      <a:ext cx="5495925" cy="567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8B4F29" w14:textId="77777777" w:rsidR="00AC180A" w:rsidRDefault="00AC180A" w:rsidP="00AC180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547E394" w14:textId="7B563063" w:rsidR="0069703E" w:rsidRPr="002866A0" w:rsidRDefault="00CE535A" w:rsidP="00AC180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866A0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 w:rsidR="002866A0" w:rsidRPr="002866A0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69703E" w:rsidRPr="002866A0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Pr="002866A0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1B5433" w:rsidRPr="002866A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  <w:r w:rsidRPr="002866A0">
        <w:rPr>
          <w:rFonts w:ascii="Times New Roman" w:hAnsi="Times New Roman" w:cs="Times New Roman"/>
          <w:b/>
          <w:sz w:val="24"/>
          <w:szCs w:val="24"/>
          <w:lang w:val="en-US"/>
        </w:rPr>
        <w:t>Histological analysis of tumor tissues in LLC tumor allograft mice.</w:t>
      </w:r>
    </w:p>
    <w:p w14:paraId="12B10FE6" w14:textId="3C14D85C" w:rsidR="00457F8C" w:rsidRPr="005A54A9" w:rsidRDefault="002866A0" w:rsidP="00AC18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866A0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 w:rsidR="00D514A3" w:rsidRPr="002866A0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2866A0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="00D514A3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Start w:id="3" w:name="_Hlk33198617"/>
      <w:r w:rsidR="00334597" w:rsidRPr="005A54A9">
        <w:rPr>
          <w:rFonts w:ascii="Times New Roman" w:hAnsi="Times New Roman" w:cs="Times New Roman"/>
          <w:sz w:val="24"/>
          <w:szCs w:val="24"/>
          <w:lang w:val="en-US"/>
        </w:rPr>
        <w:t>Schematic diagram depicting development of LLC allograft models and treatment schedule. LL</w:t>
      </w:r>
      <w:r w:rsidR="001B5433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C tumor-bearing mice, following </w:t>
      </w:r>
      <w:r w:rsidR="00C72D22" w:rsidRPr="005A54A9">
        <w:rPr>
          <w:rFonts w:ascii="Times New Roman" w:hAnsi="Times New Roman" w:cs="Times New Roman"/>
          <w:sz w:val="24"/>
          <w:szCs w:val="24"/>
          <w:lang w:val="en-US"/>
        </w:rPr>
        <w:t>LLC cells inoculation</w:t>
      </w:r>
      <w:r w:rsidR="00334597" w:rsidRPr="005A54A9">
        <w:rPr>
          <w:rFonts w:ascii="Times New Roman" w:hAnsi="Times New Roman" w:cs="Times New Roman"/>
          <w:sz w:val="24"/>
          <w:szCs w:val="24"/>
          <w:lang w:val="en-US"/>
        </w:rPr>
        <w:t>, were administered TFG (10 nmol/kg) and/or cisplatin (1 mg/kg, 3 mg/kg), or vehicle control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(PBS</w:t>
      </w:r>
      <w:r w:rsidR="00334597" w:rsidRPr="005A54A9">
        <w:rPr>
          <w:rFonts w:ascii="Times New Roman" w:hAnsi="Times New Roman" w:cs="Times New Roman"/>
          <w:sz w:val="24"/>
          <w:szCs w:val="24"/>
          <w:lang w:val="en-US"/>
        </w:rPr>
        <w:t>) intravenously, and the tumors were sampled on day 1</w:t>
      </w:r>
      <w:r w:rsidR="00E27935" w:rsidRPr="005A54A9">
        <w:rPr>
          <w:rFonts w:ascii="Times New Roman" w:hAnsi="Times New Roman" w:cs="Times New Roman"/>
          <w:sz w:val="24"/>
          <w:szCs w:val="24"/>
          <w:lang w:val="en-US"/>
        </w:rPr>
        <w:t>7</w:t>
      </w:r>
      <w:r w:rsidR="00334597" w:rsidRPr="005A54A9">
        <w:rPr>
          <w:rFonts w:ascii="Times New Roman" w:hAnsi="Times New Roman" w:cs="Times New Roman"/>
          <w:sz w:val="24"/>
          <w:szCs w:val="24"/>
          <w:lang w:val="en-US"/>
        </w:rPr>
        <w:t>.</w:t>
      </w:r>
      <w:bookmarkEnd w:id="3"/>
    </w:p>
    <w:p w14:paraId="1DCA9375" w14:textId="373A09BE" w:rsidR="00457F8C" w:rsidRPr="005A54A9" w:rsidRDefault="002866A0" w:rsidP="00AC18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866A0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 w:rsidR="008F5490" w:rsidRPr="002866A0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bookmarkStart w:id="4" w:name="_Hlk33200227"/>
      <w:r w:rsidRPr="002866A0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F5490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Pattern of tumor growth in LLC tumor-bearing mice from (A). Tumor volumes were measured </w:t>
      </w:r>
      <w:r w:rsidR="005446DF" w:rsidRPr="005A54A9">
        <w:rPr>
          <w:rFonts w:ascii="Times New Roman" w:hAnsi="Times New Roman" w:cs="Times New Roman"/>
          <w:sz w:val="24"/>
          <w:szCs w:val="24"/>
          <w:lang w:val="en-US"/>
        </w:rPr>
        <w:t>every second day from day 7.</w:t>
      </w:r>
      <w:r w:rsidR="00BA00B3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F5490" w:rsidRPr="005A54A9">
        <w:rPr>
          <w:rFonts w:ascii="Times New Roman" w:hAnsi="Times New Roman" w:cs="Times New Roman"/>
          <w:sz w:val="24"/>
          <w:szCs w:val="24"/>
          <w:lang w:val="en-US"/>
        </w:rPr>
        <w:t>The red arrowheads represent the</w:t>
      </w:r>
      <w:r w:rsidR="00943449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F5490" w:rsidRPr="005A54A9">
        <w:rPr>
          <w:rFonts w:ascii="Times New Roman" w:hAnsi="Times New Roman" w:cs="Times New Roman"/>
          <w:sz w:val="24"/>
          <w:szCs w:val="24"/>
          <w:lang w:val="en-US"/>
        </w:rPr>
        <w:t>point of TF</w:t>
      </w:r>
      <w:r w:rsidR="00BA00B3" w:rsidRPr="005A54A9">
        <w:rPr>
          <w:rFonts w:ascii="Times New Roman" w:hAnsi="Times New Roman" w:cs="Times New Roman"/>
          <w:sz w:val="24"/>
          <w:szCs w:val="24"/>
          <w:lang w:val="en-US"/>
        </w:rPr>
        <w:t>MG admi</w:t>
      </w:r>
      <w:r w:rsidR="008F5490" w:rsidRPr="005A54A9">
        <w:rPr>
          <w:rFonts w:ascii="Times New Roman" w:hAnsi="Times New Roman" w:cs="Times New Roman"/>
          <w:sz w:val="24"/>
          <w:szCs w:val="24"/>
          <w:lang w:val="en-US"/>
        </w:rPr>
        <w:t>nistration</w:t>
      </w:r>
      <w:r w:rsidR="00BA00B3" w:rsidRPr="005A54A9">
        <w:rPr>
          <w:rFonts w:ascii="Times New Roman" w:hAnsi="Times New Roman" w:cs="Times New Roman"/>
          <w:sz w:val="24"/>
          <w:szCs w:val="24"/>
          <w:lang w:val="en-US"/>
        </w:rPr>
        <w:t>, and the blue arrowheads represent the point of cisplatin administration</w:t>
      </w:r>
      <w:r w:rsidR="000A0EED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F5490" w:rsidRPr="005A54A9">
        <w:rPr>
          <w:rFonts w:ascii="Times New Roman" w:hAnsi="Times New Roman" w:cs="Times New Roman"/>
          <w:sz w:val="24"/>
          <w:szCs w:val="24"/>
          <w:lang w:val="en-US"/>
        </w:rPr>
        <w:t>(n</w:t>
      </w:r>
      <w:r w:rsidR="002816B7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F5490" w:rsidRPr="005A54A9">
        <w:rPr>
          <w:rFonts w:ascii="Times New Roman" w:hAnsi="Times New Roman" w:cs="Times New Roman"/>
          <w:sz w:val="24"/>
          <w:szCs w:val="24"/>
          <w:lang w:val="en-US"/>
        </w:rPr>
        <w:t>≥</w:t>
      </w:r>
      <w:r w:rsidR="002816B7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F5490" w:rsidRPr="005A54A9">
        <w:rPr>
          <w:rFonts w:ascii="Times New Roman" w:hAnsi="Times New Roman" w:cs="Times New Roman"/>
          <w:sz w:val="24"/>
          <w:szCs w:val="24"/>
          <w:lang w:val="en-US"/>
        </w:rPr>
        <w:t>9)</w:t>
      </w:r>
      <w:bookmarkEnd w:id="4"/>
      <w:r w:rsidR="0085630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856306" w:rsidRPr="00EE4BD7">
        <w:rPr>
          <w:rFonts w:ascii="Times New Roman" w:hAnsi="Times New Roman" w:cs="Times New Roman"/>
          <w:color w:val="FF0000"/>
          <w:sz w:val="24"/>
          <w:szCs w:val="24"/>
          <w:lang w:val="en-US"/>
        </w:rPr>
        <w:t>Observed mean tumor volume and expected additive tumor volume range, calculated via the Bliss independence model.</w:t>
      </w:r>
    </w:p>
    <w:p w14:paraId="5DEB0A3F" w14:textId="6D210AFA" w:rsidR="00457F8C" w:rsidRPr="005A54A9" w:rsidRDefault="002866A0" w:rsidP="00AC18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866A0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(</w:t>
      </w:r>
      <w:r w:rsidR="00943449" w:rsidRPr="002866A0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2866A0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="001B5433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43449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Schematic diagram depicting development of LLC allograft models and treatment schedule. LLC tumor-bearing mice, following </w:t>
      </w:r>
      <w:r w:rsidR="00C72D22" w:rsidRPr="005A54A9">
        <w:rPr>
          <w:rFonts w:ascii="Times New Roman" w:hAnsi="Times New Roman" w:cs="Times New Roman"/>
          <w:sz w:val="24"/>
          <w:szCs w:val="24"/>
          <w:lang w:val="en-US"/>
        </w:rPr>
        <w:t>LLC cells inoculation</w:t>
      </w:r>
      <w:r w:rsidR="00943449" w:rsidRPr="005A54A9">
        <w:rPr>
          <w:rFonts w:ascii="Times New Roman" w:hAnsi="Times New Roman" w:cs="Times New Roman"/>
          <w:sz w:val="24"/>
          <w:szCs w:val="24"/>
          <w:lang w:val="en-US"/>
        </w:rPr>
        <w:t>, were administered TF</w:t>
      </w:r>
      <w:r w:rsidR="005446DF" w:rsidRPr="005A54A9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943449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G (10 nmol/kg) and/or </w:t>
      </w:r>
      <w:r w:rsidR="005446DF" w:rsidRPr="005A54A9">
        <w:rPr>
          <w:rFonts w:ascii="Times New Roman" w:hAnsi="Times New Roman" w:cs="Times New Roman"/>
          <w:sz w:val="24"/>
          <w:szCs w:val="24"/>
          <w:lang w:val="en-US"/>
        </w:rPr>
        <w:t>doxorubicin</w:t>
      </w:r>
      <w:r w:rsidR="00943449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A0EED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(1 mg/kg, 3 mg/kg), or vehicle </w:t>
      </w:r>
      <w:r w:rsidR="00943449" w:rsidRPr="005A54A9">
        <w:rPr>
          <w:rFonts w:ascii="Times New Roman" w:hAnsi="Times New Roman" w:cs="Times New Roman"/>
          <w:sz w:val="24"/>
          <w:szCs w:val="24"/>
          <w:lang w:val="en-US"/>
        </w:rPr>
        <w:t>control</w:t>
      </w:r>
      <w:r w:rsidR="000A0EED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(PBS</w:t>
      </w:r>
      <w:r w:rsidR="00943449" w:rsidRPr="005A54A9">
        <w:rPr>
          <w:rFonts w:ascii="Times New Roman" w:hAnsi="Times New Roman" w:cs="Times New Roman"/>
          <w:sz w:val="24"/>
          <w:szCs w:val="24"/>
          <w:lang w:val="en-US"/>
        </w:rPr>
        <w:t>) intravenously, and the tumors were sampled on day 1</w:t>
      </w:r>
      <w:r w:rsidR="00E27935" w:rsidRPr="005A54A9">
        <w:rPr>
          <w:rFonts w:ascii="Times New Roman" w:hAnsi="Times New Roman" w:cs="Times New Roman"/>
          <w:sz w:val="24"/>
          <w:szCs w:val="24"/>
          <w:lang w:val="en-US"/>
        </w:rPr>
        <w:t>7</w:t>
      </w:r>
      <w:r w:rsidR="00943449" w:rsidRPr="005A54A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AE68B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4DCA33E4" w14:textId="0B9E5240" w:rsidR="000A0EED" w:rsidRPr="005A54A9" w:rsidRDefault="002866A0" w:rsidP="00AC18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866A0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 w:rsidR="00491614" w:rsidRPr="002866A0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2866A0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="00491614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Pattern of tumor growth in LLC tumor-bearing mice from (C). Tumor volumes were measured every second day from day 7. The red arrowheads represent the point of TFMG administration, and the blue arrowheads represent the point</w:t>
      </w:r>
      <w:r w:rsidR="000A0EED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of doxorubicin administration</w:t>
      </w:r>
      <w:r w:rsidR="00491614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(n</w:t>
      </w:r>
      <w:r w:rsidR="00942611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91614" w:rsidRPr="005A54A9">
        <w:rPr>
          <w:rFonts w:ascii="Times New Roman" w:hAnsi="Times New Roman" w:cs="Times New Roman"/>
          <w:sz w:val="24"/>
          <w:szCs w:val="24"/>
          <w:lang w:val="en-US"/>
        </w:rPr>
        <w:t>≥</w:t>
      </w:r>
      <w:r w:rsidR="00942611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A0EED" w:rsidRPr="005A54A9">
        <w:rPr>
          <w:rFonts w:ascii="Times New Roman" w:hAnsi="Times New Roman" w:cs="Times New Roman"/>
          <w:sz w:val="24"/>
          <w:szCs w:val="24"/>
          <w:lang w:val="en-US"/>
        </w:rPr>
        <w:t>9).</w:t>
      </w:r>
      <w:r w:rsidR="009A5A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A5A9F" w:rsidRPr="00EE4BD7">
        <w:rPr>
          <w:rFonts w:ascii="Times New Roman" w:hAnsi="Times New Roman" w:cs="Times New Roman"/>
          <w:color w:val="FF0000"/>
          <w:sz w:val="24"/>
          <w:szCs w:val="24"/>
          <w:lang w:val="en-US"/>
        </w:rPr>
        <w:t>Observed mean tumor volume and expected additive tumor volume range, calculated via the Bliss independence model.</w:t>
      </w:r>
    </w:p>
    <w:p w14:paraId="6E8D3D65" w14:textId="71A62E82" w:rsidR="00367C6D" w:rsidRPr="005A54A9" w:rsidRDefault="002866A0" w:rsidP="00AC18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866A0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 w:rsidR="00D514A3" w:rsidRPr="002866A0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2866A0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="001B5433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E535A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After </w:t>
      </w:r>
      <w:r w:rsidR="008F7EC3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treatment of </w:t>
      </w:r>
      <w:r w:rsidR="00CE535A" w:rsidRPr="005A54A9">
        <w:rPr>
          <w:rFonts w:ascii="Times New Roman" w:hAnsi="Times New Roman" w:cs="Times New Roman"/>
          <w:sz w:val="24"/>
          <w:szCs w:val="24"/>
          <w:lang w:val="en-US"/>
        </w:rPr>
        <w:t>TFMG, cisplatin,</w:t>
      </w:r>
      <w:r w:rsidR="00432856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F7EC3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or </w:t>
      </w:r>
      <w:r w:rsidR="00432856" w:rsidRPr="005A54A9">
        <w:rPr>
          <w:rFonts w:ascii="Times New Roman" w:hAnsi="Times New Roman" w:cs="Times New Roman"/>
          <w:sz w:val="24"/>
          <w:szCs w:val="24"/>
          <w:lang w:val="en-US"/>
        </w:rPr>
        <w:t>bevacizumab</w:t>
      </w:r>
      <w:r w:rsidR="008F7EC3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CE535A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or </w:t>
      </w:r>
      <w:r w:rsidR="008F7EC3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cotreatment of </w:t>
      </w:r>
      <w:r w:rsidR="00CE535A" w:rsidRPr="005A54A9">
        <w:rPr>
          <w:rFonts w:ascii="Times New Roman" w:hAnsi="Times New Roman" w:cs="Times New Roman"/>
          <w:sz w:val="24"/>
          <w:szCs w:val="24"/>
          <w:lang w:val="en-US"/>
        </w:rPr>
        <w:t>TFMG and cisplati</w:t>
      </w:r>
      <w:r w:rsidR="008F7EC3" w:rsidRPr="005A54A9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CE535A"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with the same treatment schedule in Figure </w:t>
      </w:r>
      <w:r w:rsidR="00942611" w:rsidRPr="005A54A9">
        <w:rPr>
          <w:rFonts w:ascii="Times New Roman" w:hAnsi="Times New Roman" w:cs="Times New Roman"/>
          <w:sz w:val="24"/>
          <w:szCs w:val="24"/>
          <w:lang w:val="en-US"/>
        </w:rPr>
        <w:t>7</w:t>
      </w:r>
      <w:r w:rsidR="008F7EC3" w:rsidRPr="005A54A9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CE535A" w:rsidRPr="005A54A9">
        <w:rPr>
          <w:rFonts w:ascii="Times New Roman" w:hAnsi="Times New Roman" w:cs="Times New Roman"/>
          <w:sz w:val="24"/>
          <w:szCs w:val="24"/>
          <w:lang w:val="en-US"/>
        </w:rPr>
        <w:t>, sectioned tumor tissues (5 µm) were analysed for H&amp;E staining.</w:t>
      </w:r>
    </w:p>
    <w:p w14:paraId="668D26EE" w14:textId="51C67B85" w:rsidR="005A54A9" w:rsidRDefault="000A0EED" w:rsidP="00AC18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Data information: Data are presented as the mean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±</m:t>
        </m:r>
      </m:oMath>
      <w:r w:rsidRPr="005A54A9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S</w:t>
      </w:r>
      <w:r w:rsidRPr="005A54A9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5A54A9">
        <w:rPr>
          <w:rFonts w:ascii="Times New Roman" w:hAnsi="Times New Roman" w:cs="Times New Roman" w:hint="eastAsia"/>
          <w:sz w:val="24"/>
          <w:szCs w:val="24"/>
          <w:lang w:val="en-US"/>
        </w:rPr>
        <w:t xml:space="preserve">. </w:t>
      </w:r>
      <w:r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Significant enrichment: </w:t>
      </w:r>
      <w:r w:rsidRPr="00BB2E1F">
        <w:rPr>
          <w:rFonts w:ascii="Times New Roman" w:hAnsi="Times New Roman" w:cs="Times New Roman"/>
          <w:color w:val="00B050"/>
          <w:sz w:val="24"/>
          <w:szCs w:val="24"/>
          <w:vertAlign w:val="superscript"/>
          <w:lang w:val="en-US"/>
        </w:rPr>
        <w:t>*</w:t>
      </w:r>
      <w:r w:rsidRPr="002866A0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&lt; 0.05; </w:t>
      </w:r>
      <w:r w:rsidRPr="00BB2E1F">
        <w:rPr>
          <w:rFonts w:ascii="Times New Roman" w:hAnsi="Times New Roman" w:cs="Times New Roman"/>
          <w:color w:val="00B050"/>
          <w:sz w:val="24"/>
          <w:szCs w:val="24"/>
          <w:vertAlign w:val="superscript"/>
          <w:lang w:val="en-US"/>
        </w:rPr>
        <w:t>**</w:t>
      </w:r>
      <w:r w:rsidRPr="002866A0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&lt; 0.01; </w:t>
      </w:r>
      <w:r w:rsidRPr="00EE4BD7">
        <w:rPr>
          <w:rFonts w:ascii="Times New Roman" w:hAnsi="Times New Roman" w:cs="Times New Roman"/>
          <w:color w:val="FF0000"/>
          <w:sz w:val="24"/>
          <w:szCs w:val="24"/>
          <w:vertAlign w:val="superscript"/>
          <w:lang w:val="en-US"/>
        </w:rPr>
        <w:t>***</w:t>
      </w:r>
      <w:r w:rsidRPr="002866A0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Pr="005A54A9">
        <w:rPr>
          <w:rFonts w:ascii="Times New Roman" w:hAnsi="Times New Roman" w:cs="Times New Roman"/>
          <w:sz w:val="24"/>
          <w:szCs w:val="24"/>
          <w:lang w:val="en-US"/>
        </w:rPr>
        <w:t xml:space="preserve"> &lt; 0.001 (</w:t>
      </w:r>
      <w:r w:rsidR="00BB2E1F" w:rsidRPr="00EE4BD7">
        <w:rPr>
          <w:rFonts w:ascii="Times New Roman" w:hAnsi="Times New Roman" w:cs="Times New Roman"/>
          <w:color w:val="FF0000"/>
          <w:sz w:val="24"/>
          <w:szCs w:val="24"/>
          <w:lang w:val="en-US"/>
        </w:rPr>
        <w:t>two-way ANOVA</w:t>
      </w:r>
      <w:r w:rsidRPr="005A54A9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14:paraId="3017C6CF" w14:textId="77777777" w:rsidR="005A54A9" w:rsidRDefault="005A54A9" w:rsidP="007F64E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1AA21A17" w14:textId="3A0FE2C5" w:rsidR="00F31B3D" w:rsidRPr="00F31B3D" w:rsidRDefault="00F31B3D" w:rsidP="007F64ED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able S1. </w:t>
      </w:r>
      <w:r w:rsidRPr="00F31B3D">
        <w:rPr>
          <w:rFonts w:ascii="Times New Roman" w:hAnsi="Times New Roman" w:cs="Times New Roman"/>
          <w:b/>
          <w:bCs/>
          <w:sz w:val="24"/>
          <w:szCs w:val="24"/>
        </w:rPr>
        <w:t>Pharmacokinetic parameters of TRAP and TFMG</w:t>
      </w:r>
    </w:p>
    <w:p w14:paraId="57CFA3BE" w14:textId="77777777" w:rsidR="00F31B3D" w:rsidRPr="00F31B3D" w:rsidRDefault="00F31B3D" w:rsidP="007F64E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B3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991C8B9" wp14:editId="68CE6AFF">
            <wp:extent cx="5558575" cy="1138792"/>
            <wp:effectExtent l="0" t="0" r="4445" b="444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ble S2..tif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5" t="25034" r="-98" b="4330"/>
                    <a:stretch/>
                  </pic:blipFill>
                  <pic:spPr bwMode="auto">
                    <a:xfrm>
                      <a:off x="0" y="0"/>
                      <a:ext cx="5563150" cy="1139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C9A37D" w14:textId="77777777" w:rsidR="00F31B3D" w:rsidRPr="00F31B3D" w:rsidRDefault="00F31B3D" w:rsidP="00AC180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31B3D">
        <w:rPr>
          <w:rFonts w:ascii="Times New Roman" w:hAnsi="Times New Roman" w:cs="Times New Roman"/>
          <w:sz w:val="24"/>
          <w:szCs w:val="24"/>
          <w:lang w:val="en-US"/>
        </w:rPr>
        <w:t>Parameters were calculated from the data in Figure 1B and 1C. Data represent the mean ± standard deviations from 3 three mice per group. Co: initial concentration; AUC: area under plasma concentration curve; t1/2: half-life.</w:t>
      </w:r>
    </w:p>
    <w:p w14:paraId="5283B244" w14:textId="2E34523F" w:rsidR="005A54A9" w:rsidRPr="00F31B3D" w:rsidRDefault="005A54A9" w:rsidP="007F64E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178E8CD" w14:textId="0E7B7E81" w:rsidR="005A54A9" w:rsidRDefault="005A54A9" w:rsidP="007F64E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0717830B" w14:textId="73445F79" w:rsidR="00F31B3D" w:rsidRPr="00F31B3D" w:rsidRDefault="00F31B3D" w:rsidP="007F64ED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31B3D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F31B3D">
        <w:rPr>
          <w:rFonts w:ascii="Times New Roman" w:hAnsi="Times New Roman" w:cs="Times New Roman"/>
          <w:b/>
          <w:bCs/>
          <w:sz w:val="24"/>
          <w:szCs w:val="24"/>
        </w:rPr>
        <w:t>2.   Oligonucleotides used for qRT-PCR</w:t>
      </w:r>
    </w:p>
    <w:p w14:paraId="2C0AF964" w14:textId="77777777" w:rsidR="00F31B3D" w:rsidRDefault="00F31B3D" w:rsidP="007F64ED">
      <w:pPr>
        <w:spacing w:after="0" w:line="480" w:lineRule="auto"/>
        <w:jc w:val="both"/>
        <w:rPr>
          <w:rFonts w:ascii="Arial" w:hAnsi="Arial" w:cs="Arial"/>
          <w:sz w:val="18"/>
          <w:szCs w:val="24"/>
        </w:rPr>
      </w:pPr>
      <w:r w:rsidRPr="00B604DD">
        <w:rPr>
          <w:rFonts w:ascii="Arial" w:hAnsi="Arial" w:cs="Arial"/>
          <w:noProof/>
          <w:sz w:val="18"/>
          <w:szCs w:val="24"/>
          <w:lang w:val="en-US"/>
        </w:rPr>
        <w:drawing>
          <wp:inline distT="0" distB="0" distL="0" distR="0" wp14:anchorId="07F6E9DF" wp14:editId="2676BE18">
            <wp:extent cx="5607514" cy="2738755"/>
            <wp:effectExtent l="0" t="0" r="0" b="444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able S1.tif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3" t="11429"/>
                    <a:stretch/>
                  </pic:blipFill>
                  <pic:spPr bwMode="auto">
                    <a:xfrm>
                      <a:off x="0" y="0"/>
                      <a:ext cx="5608081" cy="2739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0E343D" w14:textId="77777777" w:rsidR="00F31B3D" w:rsidRPr="00B604DD" w:rsidRDefault="00F31B3D" w:rsidP="007F64ED">
      <w:pPr>
        <w:spacing w:after="0" w:line="480" w:lineRule="auto"/>
        <w:jc w:val="both"/>
        <w:rPr>
          <w:rFonts w:ascii="Arial" w:hAnsi="Arial" w:cs="Arial"/>
          <w:sz w:val="18"/>
          <w:szCs w:val="24"/>
        </w:rPr>
      </w:pPr>
    </w:p>
    <w:p w14:paraId="32B0D3A9" w14:textId="44B4C818" w:rsidR="00F31B3D" w:rsidRDefault="00F31B3D" w:rsidP="007F64E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66D286B" w14:textId="77777777" w:rsidR="00F31B3D" w:rsidRDefault="00F31B3D" w:rsidP="007F64E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4724E67" w14:textId="284400B9" w:rsidR="000A0EED" w:rsidRPr="005A54A9" w:rsidRDefault="000A0EED" w:rsidP="007F64E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0A0EED" w:rsidRPr="005A54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AF9C31" w14:textId="77777777" w:rsidR="00297855" w:rsidRDefault="00297855" w:rsidP="00536BB9">
      <w:pPr>
        <w:spacing w:after="0" w:line="240" w:lineRule="auto"/>
      </w:pPr>
      <w:r>
        <w:separator/>
      </w:r>
    </w:p>
  </w:endnote>
  <w:endnote w:type="continuationSeparator" w:id="0">
    <w:p w14:paraId="23B85D54" w14:textId="77777777" w:rsidR="00297855" w:rsidRDefault="00297855" w:rsidP="00536B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9D06EB" w14:textId="77777777" w:rsidR="00297855" w:rsidRDefault="00297855" w:rsidP="00536BB9">
      <w:pPr>
        <w:spacing w:after="0" w:line="240" w:lineRule="auto"/>
      </w:pPr>
      <w:r>
        <w:separator/>
      </w:r>
    </w:p>
  </w:footnote>
  <w:footnote w:type="continuationSeparator" w:id="0">
    <w:p w14:paraId="51D550D5" w14:textId="77777777" w:rsidR="00297855" w:rsidRDefault="00297855" w:rsidP="00536B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9CA"/>
    <w:rsid w:val="00006342"/>
    <w:rsid w:val="00007453"/>
    <w:rsid w:val="000347A2"/>
    <w:rsid w:val="000362CC"/>
    <w:rsid w:val="00040AC8"/>
    <w:rsid w:val="00050A8A"/>
    <w:rsid w:val="00052760"/>
    <w:rsid w:val="0005730E"/>
    <w:rsid w:val="0006043A"/>
    <w:rsid w:val="00066B40"/>
    <w:rsid w:val="000A0EED"/>
    <w:rsid w:val="000A6CF3"/>
    <w:rsid w:val="000C25EF"/>
    <w:rsid w:val="000C7311"/>
    <w:rsid w:val="000E0EB5"/>
    <w:rsid w:val="000F3B31"/>
    <w:rsid w:val="0012122A"/>
    <w:rsid w:val="00135360"/>
    <w:rsid w:val="0014064A"/>
    <w:rsid w:val="00147057"/>
    <w:rsid w:val="0015687C"/>
    <w:rsid w:val="00161542"/>
    <w:rsid w:val="00177238"/>
    <w:rsid w:val="00183DB3"/>
    <w:rsid w:val="00184AF9"/>
    <w:rsid w:val="00186973"/>
    <w:rsid w:val="00190617"/>
    <w:rsid w:val="001A3536"/>
    <w:rsid w:val="001B3C94"/>
    <w:rsid w:val="001B5433"/>
    <w:rsid w:val="001B7491"/>
    <w:rsid w:val="001C0BF0"/>
    <w:rsid w:val="001D24F6"/>
    <w:rsid w:val="001D54AA"/>
    <w:rsid w:val="00204294"/>
    <w:rsid w:val="002068E8"/>
    <w:rsid w:val="002357B0"/>
    <w:rsid w:val="00243416"/>
    <w:rsid w:val="002436D4"/>
    <w:rsid w:val="00243D0E"/>
    <w:rsid w:val="002450D9"/>
    <w:rsid w:val="0025666B"/>
    <w:rsid w:val="002812B9"/>
    <w:rsid w:val="002816B7"/>
    <w:rsid w:val="002866A0"/>
    <w:rsid w:val="00297855"/>
    <w:rsid w:val="002A4313"/>
    <w:rsid w:val="002B5EE2"/>
    <w:rsid w:val="002C3805"/>
    <w:rsid w:val="002E102F"/>
    <w:rsid w:val="002E541F"/>
    <w:rsid w:val="002F4386"/>
    <w:rsid w:val="00301F11"/>
    <w:rsid w:val="003110EB"/>
    <w:rsid w:val="003128F9"/>
    <w:rsid w:val="00325CD9"/>
    <w:rsid w:val="00330395"/>
    <w:rsid w:val="00334597"/>
    <w:rsid w:val="003347EC"/>
    <w:rsid w:val="003407AE"/>
    <w:rsid w:val="0034124E"/>
    <w:rsid w:val="00344675"/>
    <w:rsid w:val="00352DD1"/>
    <w:rsid w:val="0035660F"/>
    <w:rsid w:val="003648CB"/>
    <w:rsid w:val="00367C6D"/>
    <w:rsid w:val="00372600"/>
    <w:rsid w:val="00375A36"/>
    <w:rsid w:val="00396964"/>
    <w:rsid w:val="003A49CA"/>
    <w:rsid w:val="003D77D9"/>
    <w:rsid w:val="003D7A40"/>
    <w:rsid w:val="003E1D68"/>
    <w:rsid w:val="003F28E5"/>
    <w:rsid w:val="003F38D9"/>
    <w:rsid w:val="00402579"/>
    <w:rsid w:val="00410F58"/>
    <w:rsid w:val="00422B92"/>
    <w:rsid w:val="00426043"/>
    <w:rsid w:val="00432856"/>
    <w:rsid w:val="00437D34"/>
    <w:rsid w:val="004465C9"/>
    <w:rsid w:val="00446854"/>
    <w:rsid w:val="00447061"/>
    <w:rsid w:val="00457F8C"/>
    <w:rsid w:val="00481147"/>
    <w:rsid w:val="00485604"/>
    <w:rsid w:val="00491614"/>
    <w:rsid w:val="00493D5A"/>
    <w:rsid w:val="0049454C"/>
    <w:rsid w:val="004B05BF"/>
    <w:rsid w:val="004B392B"/>
    <w:rsid w:val="004B6BED"/>
    <w:rsid w:val="004D4643"/>
    <w:rsid w:val="004E3B59"/>
    <w:rsid w:val="004F04A3"/>
    <w:rsid w:val="0050629F"/>
    <w:rsid w:val="00516044"/>
    <w:rsid w:val="00520F1B"/>
    <w:rsid w:val="00536BB9"/>
    <w:rsid w:val="005440D6"/>
    <w:rsid w:val="005446DF"/>
    <w:rsid w:val="00550B80"/>
    <w:rsid w:val="00565ECE"/>
    <w:rsid w:val="005A54A9"/>
    <w:rsid w:val="005B1D3F"/>
    <w:rsid w:val="005C3772"/>
    <w:rsid w:val="005D1234"/>
    <w:rsid w:val="005D7C2E"/>
    <w:rsid w:val="005E0782"/>
    <w:rsid w:val="005E420B"/>
    <w:rsid w:val="005F52D7"/>
    <w:rsid w:val="00600FD7"/>
    <w:rsid w:val="00602F3B"/>
    <w:rsid w:val="006065F2"/>
    <w:rsid w:val="00611043"/>
    <w:rsid w:val="006158F4"/>
    <w:rsid w:val="00617BD7"/>
    <w:rsid w:val="00617CE7"/>
    <w:rsid w:val="0062056C"/>
    <w:rsid w:val="0063643A"/>
    <w:rsid w:val="00641743"/>
    <w:rsid w:val="006462F5"/>
    <w:rsid w:val="006536CD"/>
    <w:rsid w:val="00653743"/>
    <w:rsid w:val="00694483"/>
    <w:rsid w:val="00694E50"/>
    <w:rsid w:val="0069703E"/>
    <w:rsid w:val="006A0D98"/>
    <w:rsid w:val="006A1916"/>
    <w:rsid w:val="006D4967"/>
    <w:rsid w:val="00712BA4"/>
    <w:rsid w:val="007217A4"/>
    <w:rsid w:val="007224B2"/>
    <w:rsid w:val="00725B30"/>
    <w:rsid w:val="0075157B"/>
    <w:rsid w:val="00760D80"/>
    <w:rsid w:val="007670EA"/>
    <w:rsid w:val="007865AF"/>
    <w:rsid w:val="007F0AC0"/>
    <w:rsid w:val="007F64ED"/>
    <w:rsid w:val="00830F86"/>
    <w:rsid w:val="00856306"/>
    <w:rsid w:val="0086250C"/>
    <w:rsid w:val="0089374E"/>
    <w:rsid w:val="008D3658"/>
    <w:rsid w:val="008D4656"/>
    <w:rsid w:val="008F5490"/>
    <w:rsid w:val="008F7EC3"/>
    <w:rsid w:val="00920E16"/>
    <w:rsid w:val="00931C56"/>
    <w:rsid w:val="00942611"/>
    <w:rsid w:val="00943449"/>
    <w:rsid w:val="00970A55"/>
    <w:rsid w:val="00974FF1"/>
    <w:rsid w:val="0098363E"/>
    <w:rsid w:val="00985869"/>
    <w:rsid w:val="009A5A9F"/>
    <w:rsid w:val="009A74DE"/>
    <w:rsid w:val="009D6D65"/>
    <w:rsid w:val="00A23997"/>
    <w:rsid w:val="00A36732"/>
    <w:rsid w:val="00A41442"/>
    <w:rsid w:val="00A70F30"/>
    <w:rsid w:val="00A729F7"/>
    <w:rsid w:val="00A748DA"/>
    <w:rsid w:val="00A808AE"/>
    <w:rsid w:val="00A87078"/>
    <w:rsid w:val="00A92343"/>
    <w:rsid w:val="00AA10A6"/>
    <w:rsid w:val="00AC180A"/>
    <w:rsid w:val="00AE342A"/>
    <w:rsid w:val="00AE68B2"/>
    <w:rsid w:val="00AF0895"/>
    <w:rsid w:val="00B167A6"/>
    <w:rsid w:val="00B22636"/>
    <w:rsid w:val="00B23F5E"/>
    <w:rsid w:val="00B34974"/>
    <w:rsid w:val="00B45E40"/>
    <w:rsid w:val="00B51C7D"/>
    <w:rsid w:val="00B56601"/>
    <w:rsid w:val="00B604DD"/>
    <w:rsid w:val="00BA00B3"/>
    <w:rsid w:val="00BB1BD8"/>
    <w:rsid w:val="00BB2E1F"/>
    <w:rsid w:val="00BC3305"/>
    <w:rsid w:val="00BD5AD0"/>
    <w:rsid w:val="00BD7363"/>
    <w:rsid w:val="00BE4E93"/>
    <w:rsid w:val="00C1236D"/>
    <w:rsid w:val="00C27F33"/>
    <w:rsid w:val="00C520E7"/>
    <w:rsid w:val="00C71A1C"/>
    <w:rsid w:val="00C72D22"/>
    <w:rsid w:val="00C75E4D"/>
    <w:rsid w:val="00C81988"/>
    <w:rsid w:val="00C945CA"/>
    <w:rsid w:val="00C9650A"/>
    <w:rsid w:val="00CE535A"/>
    <w:rsid w:val="00CF309D"/>
    <w:rsid w:val="00D250D3"/>
    <w:rsid w:val="00D32623"/>
    <w:rsid w:val="00D44506"/>
    <w:rsid w:val="00D514A3"/>
    <w:rsid w:val="00D52D39"/>
    <w:rsid w:val="00D73062"/>
    <w:rsid w:val="00D775B6"/>
    <w:rsid w:val="00D92429"/>
    <w:rsid w:val="00D958AE"/>
    <w:rsid w:val="00D95A60"/>
    <w:rsid w:val="00DB465A"/>
    <w:rsid w:val="00DC1E87"/>
    <w:rsid w:val="00DD0146"/>
    <w:rsid w:val="00DD6996"/>
    <w:rsid w:val="00E16D64"/>
    <w:rsid w:val="00E27935"/>
    <w:rsid w:val="00E3078F"/>
    <w:rsid w:val="00E322B3"/>
    <w:rsid w:val="00E35200"/>
    <w:rsid w:val="00E35A74"/>
    <w:rsid w:val="00E549DE"/>
    <w:rsid w:val="00E62DEE"/>
    <w:rsid w:val="00E7491E"/>
    <w:rsid w:val="00E76F72"/>
    <w:rsid w:val="00E808DD"/>
    <w:rsid w:val="00E80CBD"/>
    <w:rsid w:val="00E95777"/>
    <w:rsid w:val="00EA57D6"/>
    <w:rsid w:val="00EC3E49"/>
    <w:rsid w:val="00EC7517"/>
    <w:rsid w:val="00EE4BD7"/>
    <w:rsid w:val="00EF4A80"/>
    <w:rsid w:val="00F07787"/>
    <w:rsid w:val="00F1283B"/>
    <w:rsid w:val="00F31B3D"/>
    <w:rsid w:val="00F765EA"/>
    <w:rsid w:val="00FB3979"/>
    <w:rsid w:val="00FB48F8"/>
    <w:rsid w:val="00FC6E61"/>
    <w:rsid w:val="00FD61E9"/>
    <w:rsid w:val="00FE52FA"/>
    <w:rsid w:val="00FF0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85B9F8"/>
  <w15:docId w15:val="{3274BD11-37F3-4B50-8871-52F36DD75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2D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DB4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풍선 도움말 텍스트 Char"/>
    <w:basedOn w:val="a0"/>
    <w:link w:val="a4"/>
    <w:uiPriority w:val="99"/>
    <w:semiHidden/>
    <w:rsid w:val="00DB465A"/>
    <w:rPr>
      <w:rFonts w:ascii="Tahoma" w:hAnsi="Tahoma" w:cs="Tahoma"/>
      <w:sz w:val="16"/>
      <w:szCs w:val="16"/>
    </w:rPr>
  </w:style>
  <w:style w:type="character" w:styleId="a5">
    <w:name w:val="Hyperlink"/>
    <w:uiPriority w:val="99"/>
    <w:unhideWhenUsed/>
    <w:rsid w:val="002812B9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CF309D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val="en-US"/>
    </w:rPr>
  </w:style>
  <w:style w:type="paragraph" w:customStyle="1" w:styleId="BBAuthorName">
    <w:name w:val="BB_Author_Name"/>
    <w:basedOn w:val="a"/>
    <w:next w:val="a"/>
    <w:rsid w:val="00F07787"/>
    <w:pPr>
      <w:spacing w:after="240" w:line="480" w:lineRule="auto"/>
      <w:jc w:val="center"/>
    </w:pPr>
    <w:rPr>
      <w:rFonts w:ascii="Times" w:hAnsi="Times" w:cs="Times New Roman"/>
      <w:i/>
      <w:sz w:val="24"/>
      <w:szCs w:val="20"/>
      <w:lang w:val="en-US" w:eastAsia="en-US"/>
    </w:rPr>
  </w:style>
  <w:style w:type="character" w:styleId="a7">
    <w:name w:val="Placeholder Text"/>
    <w:basedOn w:val="a0"/>
    <w:uiPriority w:val="99"/>
    <w:semiHidden/>
    <w:rsid w:val="0035660F"/>
    <w:rPr>
      <w:color w:val="808080"/>
    </w:rPr>
  </w:style>
  <w:style w:type="paragraph" w:styleId="a8">
    <w:name w:val="header"/>
    <w:basedOn w:val="a"/>
    <w:link w:val="Char0"/>
    <w:uiPriority w:val="99"/>
    <w:unhideWhenUsed/>
    <w:rsid w:val="00536BB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8"/>
    <w:uiPriority w:val="99"/>
    <w:rsid w:val="00536BB9"/>
  </w:style>
  <w:style w:type="paragraph" w:styleId="a9">
    <w:name w:val="footer"/>
    <w:basedOn w:val="a"/>
    <w:link w:val="Char1"/>
    <w:uiPriority w:val="99"/>
    <w:unhideWhenUsed/>
    <w:rsid w:val="00536BB9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9"/>
    <w:uiPriority w:val="99"/>
    <w:rsid w:val="00536BB9"/>
  </w:style>
  <w:style w:type="paragraph" w:customStyle="1" w:styleId="TAMainText">
    <w:name w:val="TA_Main_Text"/>
    <w:basedOn w:val="a"/>
    <w:rsid w:val="00C9650A"/>
    <w:pPr>
      <w:spacing w:after="0" w:line="480" w:lineRule="auto"/>
      <w:ind w:firstLine="202"/>
      <w:jc w:val="both"/>
    </w:pPr>
    <w:rPr>
      <w:rFonts w:ascii="Times" w:hAnsi="Times" w:cs="Times New Roman"/>
      <w:sz w:val="24"/>
      <w:szCs w:val="20"/>
      <w:lang w:val="en-US" w:eastAsia="en-US"/>
    </w:rPr>
  </w:style>
  <w:style w:type="paragraph" w:customStyle="1" w:styleId="BATitle">
    <w:name w:val="BA_Title"/>
    <w:basedOn w:val="a"/>
    <w:next w:val="BBAuthorName"/>
    <w:rsid w:val="00325CD9"/>
    <w:pPr>
      <w:spacing w:before="720" w:after="360" w:line="480" w:lineRule="auto"/>
      <w:jc w:val="center"/>
    </w:pPr>
    <w:rPr>
      <w:rFonts w:ascii="Times New Roman" w:hAnsi="Times New Roman" w:cs="Times New Roman"/>
      <w:sz w:val="44"/>
      <w:szCs w:val="20"/>
      <w:lang w:val="en-US" w:eastAsia="en-US"/>
    </w:rPr>
  </w:style>
  <w:style w:type="paragraph" w:styleId="aa">
    <w:name w:val="List Paragraph"/>
    <w:basedOn w:val="a"/>
    <w:uiPriority w:val="34"/>
    <w:qFormat/>
    <w:rsid w:val="0098363E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32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77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cid.org/0000-0002-5756-7169" TargetMode="External"/><Relationship Id="rId13" Type="http://schemas.openxmlformats.org/officeDocument/2006/relationships/image" Target="media/image5.tif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ym@knu.ac.kr" TargetMode="External"/><Relationship Id="rId12" Type="http://schemas.openxmlformats.org/officeDocument/2006/relationships/image" Target="media/image4.tif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5" Type="http://schemas.openxmlformats.org/officeDocument/2006/relationships/footnotes" Target="footnotes.xml"/><Relationship Id="rId15" Type="http://schemas.openxmlformats.org/officeDocument/2006/relationships/image" Target="media/image7.tiff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1F2DB0-A7E1-4957-B5F1-5EA2CF5C0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1291</Words>
  <Characters>7365</Characters>
  <Application>Microsoft Office Word</Application>
  <DocSecurity>0</DocSecurity>
  <Lines>61</Lines>
  <Paragraphs>17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사용자</cp:lastModifiedBy>
  <cp:revision>4</cp:revision>
  <cp:lastPrinted>2020-02-25T05:12:00Z</cp:lastPrinted>
  <dcterms:created xsi:type="dcterms:W3CDTF">2020-07-26T13:55:00Z</dcterms:created>
  <dcterms:modified xsi:type="dcterms:W3CDTF">2020-07-27T01:20:00Z</dcterms:modified>
</cp:coreProperties>
</file>