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32E" w:rsidRDefault="00620FE3">
      <w:pPr>
        <w:widowControl w:val="0"/>
        <w:spacing w:after="200" w:line="276" w:lineRule="auto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/>
          <w:b/>
          <w:sz w:val="24"/>
        </w:rPr>
        <w:t xml:space="preserve">Supplementary </w:t>
      </w:r>
      <w:r>
        <w:rPr>
          <w:rFonts w:ascii="Times New Roman" w:eastAsia="SimSun" w:hAnsi="Times New Roman" w:cs="Times New Roman" w:hint="eastAsia"/>
          <w:b/>
          <w:sz w:val="24"/>
        </w:rPr>
        <w:t>f</w:t>
      </w:r>
      <w:r>
        <w:rPr>
          <w:rFonts w:ascii="Times New Roman" w:eastAsia="SimSun" w:hAnsi="Times New Roman" w:cs="Times New Roman"/>
          <w:b/>
          <w:sz w:val="24"/>
        </w:rPr>
        <w:t>igures</w:t>
      </w:r>
    </w:p>
    <w:p w:rsidR="006E232E" w:rsidRDefault="00620FE3">
      <w:pPr>
        <w:widowControl w:val="0"/>
        <w:spacing w:after="200" w:line="276" w:lineRule="auto"/>
        <w:rPr>
          <w:rFonts w:ascii="Times New Roman" w:eastAsia="SimSun" w:hAnsi="Times New Roman" w:cs="Times New Roman"/>
          <w:b/>
          <w:sz w:val="24"/>
        </w:rPr>
      </w:pPr>
      <w:r>
        <w:rPr>
          <w:rFonts w:ascii="Times New Roman" w:eastAsia="SimSun" w:hAnsi="Times New Roman" w:cs="Times New Roman" w:hint="eastAsia"/>
          <w:b/>
          <w:noProof/>
          <w:sz w:val="24"/>
          <w:lang w:eastAsia="en-US"/>
        </w:rPr>
        <w:drawing>
          <wp:inline distT="0" distB="0" distL="114300" distR="114300">
            <wp:extent cx="6339218" cy="4643562"/>
            <wp:effectExtent l="0" t="0" r="4445" b="5080"/>
            <wp:docPr id="2" name="图片 2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2616" cy="46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2E" w:rsidRDefault="00620F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5130">
        <w:rPr>
          <w:rFonts w:ascii="Times New Roman" w:hAnsi="Times New Roman" w:cs="Times New Roman"/>
          <w:b/>
          <w:bCs/>
          <w:sz w:val="24"/>
          <w:szCs w:val="24"/>
        </w:rPr>
        <w:t xml:space="preserve">ROS detection in cells treated with </w:t>
      </w:r>
      <w:r w:rsidR="00014C3D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8C5130">
        <w:rPr>
          <w:rFonts w:ascii="Times New Roman" w:hAnsi="Times New Roman" w:cs="Times New Roman"/>
          <w:b/>
          <w:bCs/>
          <w:sz w:val="24"/>
          <w:szCs w:val="24"/>
        </w:rPr>
        <w:t>ROS inhibitors.</w:t>
      </w:r>
    </w:p>
    <w:p w:rsidR="006E232E" w:rsidRDefault="00620FE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representative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ransmiss</w:t>
      </w:r>
      <w:r w:rsidR="00025439">
        <w:rPr>
          <w:rFonts w:ascii="Times New Roman" w:hAnsi="Times New Roman" w:cs="Times New Roman"/>
          <w:sz w:val="24"/>
          <w:szCs w:val="24"/>
        </w:rPr>
        <w:t>ion electron microscopes (TEM) </w:t>
      </w:r>
      <w:r>
        <w:rPr>
          <w:rFonts w:ascii="Times New Roman" w:hAnsi="Times New Roman" w:cs="Times New Roman"/>
          <w:sz w:val="24"/>
          <w:szCs w:val="24"/>
        </w:rPr>
        <w:t>image of purified A2780-derived exosomes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ROS levels in A2780 cells treated with </w:t>
      </w:r>
      <w:r w:rsidR="002732A3">
        <w:rPr>
          <w:rFonts w:ascii="Times New Roman" w:hAnsi="Times New Roman" w:cs="Times New Roman" w:hint="eastAsia"/>
          <w:sz w:val="24"/>
          <w:szCs w:val="24"/>
        </w:rPr>
        <w:t>H</w:t>
      </w:r>
      <w:r w:rsidR="002732A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732A3">
        <w:rPr>
          <w:rFonts w:ascii="Times New Roman" w:hAnsi="Times New Roman" w:cs="Times New Roman" w:hint="eastAsia"/>
          <w:sz w:val="24"/>
          <w:szCs w:val="24"/>
        </w:rPr>
        <w:t>O</w:t>
      </w:r>
      <w:r w:rsidR="002732A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737F52">
        <w:rPr>
          <w:rFonts w:ascii="Times New Roman" w:hAnsi="Times New Roman" w:cs="Times New Roman"/>
          <w:sz w:val="24"/>
          <w:szCs w:val="24"/>
        </w:rPr>
        <w:t xml:space="preserve"> (</w:t>
      </w:r>
      <w:r w:rsidR="00737F52">
        <w:rPr>
          <w:rFonts w:ascii="Times New Roman" w:hAnsi="Times New Roman" w:cs="Times New Roman"/>
          <w:sz w:val="24"/>
          <w:szCs w:val="24"/>
        </w:rPr>
        <w:t>100 μM</w:t>
      </w:r>
      <w:r w:rsidR="00737F52">
        <w:rPr>
          <w:rFonts w:ascii="Times New Roman" w:hAnsi="Times New Roman" w:cs="Times New Roman"/>
          <w:sz w:val="24"/>
          <w:szCs w:val="24"/>
        </w:rPr>
        <w:t>)</w:t>
      </w:r>
      <w:r w:rsidR="002732A3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737F52">
        <w:rPr>
          <w:rFonts w:ascii="Times New Roman" w:hAnsi="Times New Roman" w:cs="Times New Roman" w:hint="eastAsia"/>
          <w:sz w:val="24"/>
          <w:szCs w:val="24"/>
        </w:rPr>
        <w:t>NAC</w:t>
      </w:r>
      <w:r w:rsidR="00737F52">
        <w:rPr>
          <w:rFonts w:ascii="Times New Roman" w:hAnsi="Times New Roman" w:cs="Times New Roman"/>
          <w:sz w:val="24"/>
          <w:szCs w:val="24"/>
        </w:rPr>
        <w:t xml:space="preserve"> (10 mM)</w:t>
      </w:r>
      <w:r w:rsidR="00737F52">
        <w:rPr>
          <w:rFonts w:ascii="Times New Roman" w:hAnsi="Times New Roman" w:cs="Times New Roman" w:hint="eastAsia"/>
          <w:sz w:val="24"/>
          <w:szCs w:val="24"/>
        </w:rPr>
        <w:t>, catalase-PEG</w:t>
      </w:r>
      <w:r w:rsidR="00737F52">
        <w:rPr>
          <w:rFonts w:ascii="Times New Roman" w:hAnsi="Times New Roman" w:cs="Times New Roman"/>
          <w:sz w:val="24"/>
          <w:szCs w:val="24"/>
        </w:rPr>
        <w:t xml:space="preserve"> (250 U/ml)</w:t>
      </w:r>
      <w:r w:rsidR="00737F52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>
        <w:rPr>
          <w:rFonts w:ascii="Times New Roman" w:hAnsi="Times New Roman" w:cs="Times New Roman" w:hint="eastAsia"/>
          <w:sz w:val="24"/>
          <w:szCs w:val="24"/>
        </w:rPr>
        <w:t>rotenone</w:t>
      </w:r>
      <w:r w:rsidR="00737F52">
        <w:rPr>
          <w:rFonts w:ascii="Times New Roman" w:hAnsi="Times New Roman" w:cs="Times New Roman"/>
          <w:sz w:val="24"/>
          <w:szCs w:val="24"/>
        </w:rPr>
        <w:t xml:space="preserve"> (</w:t>
      </w:r>
      <w:r w:rsidR="00737F52" w:rsidRPr="00737F52">
        <w:rPr>
          <w:rFonts w:ascii="Times New Roman" w:hAnsi="Times New Roman" w:cs="Times New Roman"/>
          <w:sz w:val="24"/>
          <w:szCs w:val="24"/>
        </w:rPr>
        <w:t>2.5 µM</w:t>
      </w:r>
      <w:r w:rsidR="00737F52">
        <w:rPr>
          <w:rFonts w:ascii="Times New Roman" w:hAnsi="Times New Roman" w:cs="Times New Roman"/>
          <w:sz w:val="24"/>
          <w:szCs w:val="24"/>
        </w:rPr>
        <w:t>) for 4 hours</w:t>
      </w:r>
      <w:r>
        <w:rPr>
          <w:rFonts w:ascii="Times New Roman" w:hAnsi="Times New Roman" w:cs="Times New Roman" w:hint="eastAsia"/>
          <w:sz w:val="24"/>
          <w:szCs w:val="24"/>
        </w:rPr>
        <w:t xml:space="preserve"> were detected by flow cytometry using DCFH-DA or MitoSOX</w:t>
      </w:r>
      <w:r w:rsidRPr="002732A3">
        <w:rPr>
          <w:rFonts w:ascii="Times New Roman" w:hAnsi="Times New Roman" w:cs="Times New Roman" w:hint="eastAsia"/>
          <w:sz w:val="24"/>
          <w:szCs w:val="24"/>
          <w:vertAlign w:val="superscript"/>
        </w:rPr>
        <w:t>TM</w:t>
      </w:r>
      <w:r>
        <w:rPr>
          <w:rFonts w:ascii="Times New Roman" w:hAnsi="Times New Roman" w:cs="Times New Roman" w:hint="eastAsia"/>
          <w:sz w:val="24"/>
          <w:szCs w:val="24"/>
        </w:rPr>
        <w:t xml:space="preserve"> Red, respectively. </w:t>
      </w:r>
    </w:p>
    <w:p w:rsidR="006E232E" w:rsidRDefault="00620FE3" w:rsidP="00014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C. </w:t>
      </w:r>
      <w:r>
        <w:rPr>
          <w:rFonts w:ascii="Times New Roman" w:hAnsi="Times New Roman" w:cs="Times New Roman" w:hint="eastAsia"/>
          <w:sz w:val="24"/>
          <w:szCs w:val="24"/>
        </w:rPr>
        <w:t>ROS levels in A2780 cells treat</w:t>
      </w:r>
      <w:r w:rsidR="00737F52">
        <w:rPr>
          <w:rFonts w:ascii="Times New Roman" w:hAnsi="Times New Roman" w:cs="Times New Roman" w:hint="eastAsia"/>
          <w:sz w:val="24"/>
          <w:szCs w:val="24"/>
        </w:rPr>
        <w:t xml:space="preserve">ed with NAC, catalase-PEG, and </w:t>
      </w:r>
      <w:r>
        <w:rPr>
          <w:rFonts w:ascii="Times New Roman" w:hAnsi="Times New Roman" w:cs="Times New Roman" w:hint="eastAsia"/>
          <w:sz w:val="24"/>
          <w:szCs w:val="24"/>
        </w:rPr>
        <w:t xml:space="preserve">rotenone were detected by </w:t>
      </w:r>
      <w:r>
        <w:rPr>
          <w:rFonts w:ascii="Times New Roman" w:hAnsi="Times New Roman" w:cs="Times New Roman"/>
          <w:sz w:val="24"/>
          <w:szCs w:val="24"/>
        </w:rPr>
        <w:t>fluorescent microscope</w:t>
      </w:r>
      <w:r>
        <w:rPr>
          <w:rFonts w:ascii="Times New Roman" w:hAnsi="Times New Roman" w:cs="Times New Roman" w:hint="eastAsia"/>
          <w:sz w:val="24"/>
          <w:szCs w:val="24"/>
        </w:rPr>
        <w:t xml:space="preserve"> using CellROX Orange. </w:t>
      </w:r>
      <w:r w:rsidR="00014C3D">
        <w:rPr>
          <w:rFonts w:ascii="Times New Roman" w:hAnsi="Times New Roman" w:cs="Times New Roman"/>
          <w:sz w:val="24"/>
          <w:szCs w:val="24"/>
        </w:rPr>
        <w:t>The</w:t>
      </w:r>
      <w:r w:rsidR="00014C3D" w:rsidRPr="00B940B8">
        <w:rPr>
          <w:rFonts w:ascii="Times New Roman" w:hAnsi="Times New Roman" w:cs="Times New Roman"/>
          <w:sz w:val="24"/>
          <w:szCs w:val="24"/>
        </w:rPr>
        <w:t xml:space="preserve"> fl</w:t>
      </w:r>
      <w:r w:rsidR="00014C3D">
        <w:rPr>
          <w:rFonts w:ascii="Times New Roman" w:hAnsi="Times New Roman" w:cs="Times New Roman"/>
          <w:sz w:val="24"/>
          <w:szCs w:val="24"/>
        </w:rPr>
        <w:t>uorescent intensity was quantified</w:t>
      </w:r>
      <w:r w:rsidR="00014C3D" w:rsidRPr="00B940B8">
        <w:rPr>
          <w:rFonts w:ascii="Times New Roman" w:hAnsi="Times New Roman" w:cs="Times New Roman"/>
          <w:sz w:val="24"/>
          <w:szCs w:val="24"/>
        </w:rPr>
        <w:t xml:space="preserve"> using ImageJ software. </w:t>
      </w:r>
      <w:r>
        <w:rPr>
          <w:rFonts w:ascii="Times New Roman" w:hAnsi="Times New Roman" w:cs="Times New Roman"/>
          <w:sz w:val="24"/>
          <w:szCs w:val="24"/>
        </w:rPr>
        <w:t xml:space="preserve">Data are representative of 3 independent experiments. *p&lt;0.05, **p&lt;0.01. </w:t>
      </w:r>
      <w:r w:rsidR="008C5130">
        <w:rPr>
          <w:rFonts w:ascii="Times New Roman" w:hAnsi="Times New Roman" w:cs="Times New Roman"/>
          <w:sz w:val="24"/>
          <w:szCs w:val="24"/>
        </w:rPr>
        <w:t>Scale bar = 50 µm.</w:t>
      </w:r>
    </w:p>
    <w:p w:rsidR="006E232E" w:rsidRDefault="006E232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widowControl w:val="0"/>
        <w:spacing w:after="200" w:line="276" w:lineRule="auto"/>
        <w:rPr>
          <w:rFonts w:ascii="Times New Roman" w:eastAsia="SimSun" w:hAnsi="Times New Roman" w:cs="Times New Roman"/>
          <w:b/>
          <w:sz w:val="24"/>
        </w:rPr>
      </w:pPr>
    </w:p>
    <w:p w:rsidR="006E232E" w:rsidRDefault="006E232E">
      <w:pPr>
        <w:widowControl w:val="0"/>
        <w:spacing w:after="200" w:line="276" w:lineRule="auto"/>
        <w:rPr>
          <w:rFonts w:ascii="Times New Roman" w:eastAsia="SimSun" w:hAnsi="Times New Roman" w:cs="Times New Roman"/>
          <w:b/>
          <w:sz w:val="24"/>
        </w:rPr>
      </w:pPr>
    </w:p>
    <w:p w:rsidR="006E232E" w:rsidRDefault="00620FE3">
      <w:pPr>
        <w:widowControl w:val="0"/>
        <w:spacing w:after="200" w:line="276" w:lineRule="auto"/>
        <w:rPr>
          <w:rFonts w:ascii="Times New Roman" w:eastAsia="SimSu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noProof/>
          <w:sz w:val="24"/>
          <w:lang w:eastAsia="en-US"/>
        </w:rPr>
        <w:lastRenderedPageBreak/>
        <w:drawing>
          <wp:inline distT="0" distB="0" distL="0" distR="0">
            <wp:extent cx="5943600" cy="1562100"/>
            <wp:effectExtent l="0" t="0" r="0" b="7620"/>
            <wp:docPr id="1" name="图片 1" descr="C:\Users\abiga\Desktop\Exo Submission\7-20 figures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biga\Desktop\Exo Submission\7-20 figures\Fig.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2E" w:rsidRDefault="00620F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Generation of A2780 cells stably expressing miR-155-5p. 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A2780 cells were transfected with a miR-155-5p expression plasmid followed by G418 selection. The expression levels of cellular and exosomal miR-155-5p were determined by RT-qPCR. </w:t>
      </w:r>
    </w:p>
    <w:p w:rsidR="006E232E" w:rsidRDefault="00620F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ID8 mouse ovarian cancer cells were transfected with a miR-155-5p expression plasmid followed by G418 selection. The expression levels of cellular and exosomal miR-155-5p were determined by RT-qPCR. Data are representative of 3 independent experiments. *p&lt;0.05, **p&lt;0.01. </w:t>
      </w: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20F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545455" cy="8290560"/>
            <wp:effectExtent l="0" t="0" r="0" b="0"/>
            <wp:docPr id="3" name="图片 3" descr="C:\Users\abiga\Desktop\Exo Submission\7-20 figures\Fig.S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biga\Desktop\Exo Submission\7-20 figures\Fig.S2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506" cy="82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2E" w:rsidRDefault="00620FE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474335" cy="2819400"/>
            <wp:effectExtent l="0" t="0" r="0" b="0"/>
            <wp:docPr id="4" name="图片 4" descr="C:\Users\abiga\Desktop\Exo Submission\7-20 figures\Fig.S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biga\Desktop\Exo Submission\7-20 figures\Fig.S2-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693" cy="28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2E" w:rsidRDefault="00620FE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o-culture of A2780 tumor spheroids and macrophages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Chemokines expressions in macrophages in migration assay treated with Exo-cont / Exo-NAC or Exo-miR-con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Exo-miR-155 were determined by RT-qPCR. Data are representative of 3 independent experiments. *p&lt;0.05, **p&lt;0.01. 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Tumor spheroids were generated by A2780-miR-con and A2780-miR-155 cells. The diameter of spheroids was measured at 3d, 7d, 10d and 12d, respectively. 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 w:hint="eastAsia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1×10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macrophages were added per well after tumor spheroids formation. The percentages of apoptotic cells were analyzed by 7-AAD and Annexin V staining. The macrophages were further sorted for PD-L1 expression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 The CD14 positive infiltrated macrophages were isolated from 3D co-culture model using fluorescence-activated cell sorting (FACS). The expression levels of CCL5, IL-10, IL-13, MMP-1,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MMP-9 were measured by RT-qPCR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A2780 cells were isolated from single cell suspension of the formed spheroids and infiltrated macrophages by FACS. RT-qPCR was performed to measure the mRNA level of chemokines in A2780 cells. Data are representative of 3 independent experiments. *p&lt;0.05, **p&lt;0.01.</w:t>
      </w: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2330" cy="5867400"/>
            <wp:effectExtent l="0" t="0" r="1270" b="0"/>
            <wp:docPr id="5" name="图片 5" descr="C:\Users\abiga\Desktop\Exo Submission\7-20 figures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biga\Desktop\Exo Submission\7-20 figures\Fig.S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20FE3">
      <w:pPr>
        <w:pStyle w:val="Heading1"/>
        <w:shd w:val="clear" w:color="auto" w:fill="FFFFFF"/>
        <w:spacing w:before="0" w:beforeAutospacing="0" w:after="0" w:afterAutospacing="0" w:line="16" w:lineRule="atLeast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kern w:val="0"/>
          <w:sz w:val="24"/>
          <w:szCs w:val="24"/>
        </w:rPr>
        <w:t>Fig.S</w:t>
      </w:r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 Gating strategy for tumor infiltrated macrophages and spleen macrophages via flow cytometry. 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Single cell suspensions from tumors were first gated using FSC and SSC, and then gated for CD45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immune cells. Macrophages and monocytes were defined as CD11b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Ly6G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cells, which were further gated on F4/80 high macrophages.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 After defining live cells from spleen as DAPI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, CD11b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CD11c high dendritic cells were then excluded followed by the exclusion of Ly6G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neutrophils. Macrophages were further gated as F4/80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high Ly6C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2796540"/>
            <wp:effectExtent l="0" t="0" r="0" b="3810"/>
            <wp:docPr id="6" name="图片 6" descr="C:\Users\abiga\Desktop\Exo Submission\7-20 figures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biga\Desktop\Exo Submission\7-20 figures\Fig.S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2E" w:rsidRDefault="006E23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32E" w:rsidRDefault="00620FE3">
      <w:pPr>
        <w:pStyle w:val="Heading1"/>
        <w:shd w:val="clear" w:color="auto" w:fill="FFFFFF"/>
        <w:spacing w:before="0" w:beforeAutospacing="0" w:after="0" w:afterAutospacing="0" w:line="16" w:lineRule="atLeast"/>
        <w:jc w:val="both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/>
          <w:kern w:val="0"/>
          <w:sz w:val="24"/>
          <w:szCs w:val="24"/>
        </w:rPr>
        <w:t>Fig.S</w:t>
      </w:r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 Flow cytometric gating strategy for detection of percentage and apoptosis of T cells 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The lymphocytes were determined by the forward and side scatter profile, and the 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T cells were then further identified and gated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helper T cells and CD8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cytotoxic T cells. </w:t>
      </w:r>
    </w:p>
    <w:p w:rsidR="006E232E" w:rsidRDefault="00620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 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T cells were gated followed by analysis of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nnexin- V versus 7-AAD. Annexin- 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7-AAD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cells were defined as apoptotic cells, and Annexin- V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7-AAD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were defined as necrotic cells.</w:t>
      </w:r>
    </w:p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20FE3">
      <w:pPr>
        <w:widowContro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SimSun" w:hAnsi="Times New Roman" w:cs="Times New Roman"/>
          <w:b/>
        </w:rPr>
        <w:lastRenderedPageBreak/>
        <w:t xml:space="preserve">Supplementary Table 1. </w:t>
      </w:r>
      <w:r>
        <w:rPr>
          <w:rFonts w:ascii="Times New Roman" w:eastAsia="Times New Roman" w:hAnsi="Times New Roman" w:cs="Times New Roman"/>
          <w:b/>
        </w:rPr>
        <w:t>Primer sequences for real-time quantitative PCR</w:t>
      </w:r>
    </w:p>
    <w:p w:rsidR="006E232E" w:rsidRDefault="006E232E">
      <w:pPr>
        <w:widowControl w:val="0"/>
        <w:rPr>
          <w:rFonts w:ascii="Times New Roman" w:eastAsia="Times New Roman" w:hAnsi="Times New Roman" w:cs="Times New Roman"/>
          <w:b/>
        </w:rPr>
      </w:pPr>
    </w:p>
    <w:tbl>
      <w:tblPr>
        <w:tblStyle w:val="TableGrid"/>
        <w:tblW w:w="10981" w:type="dxa"/>
        <w:jc w:val="center"/>
        <w:tblLayout w:type="fixed"/>
        <w:tblLook w:val="04A0" w:firstRow="1" w:lastRow="0" w:firstColumn="1" w:lastColumn="0" w:noHBand="0" w:noVBand="1"/>
      </w:tblPr>
      <w:tblGrid>
        <w:gridCol w:w="1387"/>
        <w:gridCol w:w="4845"/>
        <w:gridCol w:w="4749"/>
      </w:tblGrid>
      <w:tr w:rsidR="006E232E">
        <w:trPr>
          <w:trHeight w:val="229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Gene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Forward primer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Reverse primer</w:t>
            </w:r>
          </w:p>
        </w:tc>
      </w:tr>
      <w:tr w:rsidR="006E232E">
        <w:trPr>
          <w:trHeight w:val="359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Pre-miR-155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5'-TAATCGTGATAGGGGTTT-3'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5'-GGAGTCAGTTGGAGGC-3'</w:t>
            </w:r>
          </w:p>
        </w:tc>
      </w:tr>
      <w:tr w:rsidR="006E232E">
        <w:trPr>
          <w:trHeight w:val="426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Dicer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5'-TGCTATGTCGCCTTGAATGTT-3'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5'-AATTTCTCGATAGGGGTGGTCTA-3'</w:t>
            </w:r>
          </w:p>
        </w:tc>
      </w:tr>
      <w:tr w:rsidR="006E232E">
        <w:trPr>
          <w:trHeight w:val="437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CCL2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5'-CAGCCAGATGCAATCAATGCC-3'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5'-TGGAATCCTGAACCCACTTCT-3'</w:t>
            </w:r>
          </w:p>
        </w:tc>
      </w:tr>
      <w:tr w:rsidR="006E232E">
        <w:trPr>
          <w:trHeight w:val="426"/>
          <w:jc w:val="center"/>
        </w:trPr>
        <w:tc>
          <w:tcPr>
            <w:tcW w:w="1387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CCL5</w:t>
            </w:r>
          </w:p>
        </w:tc>
        <w:tc>
          <w:tcPr>
            <w:tcW w:w="4845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5'-CCAGCAGTCGTCTTTGTCAC-3'</w:t>
            </w:r>
          </w:p>
        </w:tc>
        <w:tc>
          <w:tcPr>
            <w:tcW w:w="4749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5'-CTCTGGGTTGGCACACACTT-3'</w:t>
            </w:r>
          </w:p>
        </w:tc>
      </w:tr>
      <w:tr w:rsidR="006E232E">
        <w:trPr>
          <w:trHeight w:val="437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CXCL10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5'-GTGGCATTCAAGGAGTACCTC-3'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5'-TGATGGCCTTCGATTCTGGATT-3'</w:t>
            </w:r>
          </w:p>
        </w:tc>
      </w:tr>
      <w:tr w:rsidR="006E232E">
        <w:trPr>
          <w:trHeight w:val="299"/>
          <w:jc w:val="center"/>
        </w:trPr>
        <w:tc>
          <w:tcPr>
            <w:tcW w:w="1387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IL-10</w:t>
            </w:r>
          </w:p>
        </w:tc>
        <w:tc>
          <w:tcPr>
            <w:tcW w:w="4845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5'-ATGCCCCAAGCTGAGAACCAAGACCCA-3'</w:t>
            </w:r>
          </w:p>
        </w:tc>
        <w:tc>
          <w:tcPr>
            <w:tcW w:w="4749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5'-TCTCAAGGGGCTGGGTCAGCTATCCCA-3'</w:t>
            </w:r>
          </w:p>
        </w:tc>
      </w:tr>
      <w:tr w:rsidR="006E232E">
        <w:trPr>
          <w:trHeight w:val="426"/>
          <w:jc w:val="center"/>
        </w:trPr>
        <w:tc>
          <w:tcPr>
            <w:tcW w:w="1387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IL-13</w:t>
            </w:r>
          </w:p>
        </w:tc>
        <w:tc>
          <w:tcPr>
            <w:tcW w:w="4845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5'-GAGTGTGTTTGTCACCGTTG-3'</w:t>
            </w:r>
          </w:p>
        </w:tc>
        <w:tc>
          <w:tcPr>
            <w:tcW w:w="4749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5'-TACTCGTTGGTCGAGAGCTG-3'</w:t>
            </w:r>
          </w:p>
        </w:tc>
      </w:tr>
      <w:tr w:rsidR="006E232E">
        <w:trPr>
          <w:trHeight w:val="437"/>
          <w:jc w:val="center"/>
        </w:trPr>
        <w:tc>
          <w:tcPr>
            <w:tcW w:w="1387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MMP-1</w:t>
            </w:r>
          </w:p>
        </w:tc>
        <w:tc>
          <w:tcPr>
            <w:tcW w:w="4845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5'-CAGAGATGAAGTCCGGTTTTTC-3'</w:t>
            </w:r>
          </w:p>
        </w:tc>
        <w:tc>
          <w:tcPr>
            <w:tcW w:w="4749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5'-GGGGTATCCGTGTAGCACAT-3'</w:t>
            </w:r>
          </w:p>
        </w:tc>
      </w:tr>
      <w:tr w:rsidR="006E232E">
        <w:trPr>
          <w:trHeight w:val="437"/>
          <w:jc w:val="center"/>
        </w:trPr>
        <w:tc>
          <w:tcPr>
            <w:tcW w:w="1387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MMP-9</w:t>
            </w:r>
          </w:p>
        </w:tc>
        <w:tc>
          <w:tcPr>
            <w:tcW w:w="4845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5'-GAACCAATCTCACCGACAGG-3'</w:t>
            </w:r>
          </w:p>
        </w:tc>
        <w:tc>
          <w:tcPr>
            <w:tcW w:w="4749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5'-GCCACCCGAGTGTAACCATA-3'</w:t>
            </w:r>
          </w:p>
        </w:tc>
      </w:tr>
      <w:tr w:rsidR="006E232E">
        <w:trPr>
          <w:trHeight w:val="426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TNF-α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5'-GAGGCCAAGCCCTGGTATG-3'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5'-CGGGCCGATTGATCTCAGC-3'</w:t>
            </w:r>
          </w:p>
        </w:tc>
      </w:tr>
      <w:tr w:rsidR="006E232E">
        <w:trPr>
          <w:trHeight w:val="437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IFN-γ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5'-TCGGTAACTGACTTGAATGTCCA-3'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5'-TCGCTTCCCTGTTTTAGCTGC-3'</w:t>
            </w:r>
          </w:p>
        </w:tc>
      </w:tr>
      <w:tr w:rsidR="006E232E">
        <w:trPr>
          <w:trHeight w:val="426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IL-2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5'-CCTTGCACTTCTGAAGAGATTGA-3'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5'-ACAGGGCCATCATAAAAGAGGT-3'</w:t>
            </w:r>
          </w:p>
        </w:tc>
      </w:tr>
      <w:tr w:rsidR="006E232E">
        <w:trPr>
          <w:trHeight w:val="448"/>
          <w:jc w:val="center"/>
        </w:trPr>
        <w:tc>
          <w:tcPr>
            <w:tcW w:w="1387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Gapdh</w:t>
            </w:r>
          </w:p>
        </w:tc>
        <w:tc>
          <w:tcPr>
            <w:tcW w:w="4845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5'-GTCTCCTCTGACTTCAACAGCG-3'</w:t>
            </w:r>
          </w:p>
        </w:tc>
        <w:tc>
          <w:tcPr>
            <w:tcW w:w="4749" w:type="dxa"/>
          </w:tcPr>
          <w:p w:rsidR="006E232E" w:rsidRDefault="00620FE3">
            <w:pPr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5'-ACCACCCTGTTGCTGTAGCCAA-3'</w:t>
            </w:r>
          </w:p>
        </w:tc>
      </w:tr>
    </w:tbl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E232E"/>
    <w:p w:rsidR="006E232E" w:rsidRDefault="00620FE3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  <w:b/>
        </w:rPr>
        <w:lastRenderedPageBreak/>
        <w:t xml:space="preserve">Supplementary Table </w:t>
      </w:r>
      <w:r>
        <w:rPr>
          <w:rFonts w:ascii="Times New Roman" w:eastAsia="SimSun" w:hAnsi="Times New Roman" w:cs="Times New Roman" w:hint="eastAsia"/>
          <w:b/>
        </w:rPr>
        <w:t>2</w:t>
      </w:r>
      <w:r>
        <w:rPr>
          <w:rFonts w:ascii="Times New Roman" w:eastAsia="SimSun" w:hAnsi="Times New Roman" w:cs="Times New Roman"/>
          <w:b/>
        </w:rPr>
        <w:t>. Information of antibodies</w:t>
      </w:r>
    </w:p>
    <w:p w:rsidR="006E232E" w:rsidRDefault="006E232E">
      <w:pPr>
        <w:rPr>
          <w:rFonts w:ascii="Times New Roman" w:eastAsia="SimSun" w:hAnsi="Times New Roman" w:cs="Times New Roman"/>
          <w:b/>
        </w:rPr>
      </w:pPr>
    </w:p>
    <w:tbl>
      <w:tblPr>
        <w:tblStyle w:val="TableGrid"/>
        <w:tblW w:w="8496" w:type="dxa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4080"/>
        <w:gridCol w:w="1320"/>
      </w:tblGrid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b/>
                <w:bCs/>
              </w:rPr>
            </w:pPr>
            <w:r>
              <w:rPr>
                <w:rFonts w:ascii="Times New Roman" w:eastAsia="SimSun" w:hAnsi="Times New Roman" w:cs="Times New Roman"/>
                <w:b/>
                <w:bCs/>
              </w:rPr>
              <w:t>Antibody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b/>
                <w:bCs/>
              </w:rPr>
            </w:pPr>
            <w:r>
              <w:rPr>
                <w:rFonts w:ascii="Times New Roman" w:eastAsia="SimSun" w:hAnsi="Times New Roman" w:cs="Times New Roman"/>
                <w:b/>
                <w:bCs/>
              </w:rPr>
              <w:t xml:space="preserve">Provider 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b/>
                <w:bCs/>
              </w:rPr>
            </w:pPr>
            <w:r>
              <w:rPr>
                <w:rFonts w:ascii="Times New Roman" w:eastAsia="SimSun" w:hAnsi="Times New Roman" w:cs="Times New Roman"/>
                <w:b/>
                <w:bCs/>
              </w:rPr>
              <w:t>Application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anti-human-Calnexin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Santa Cruz, TX,USA 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anti-human-CD63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Novus, CO,USA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anti-human-CD81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Novus, CO,USA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anti-human-CD163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Abcam, Cambridge, UK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anti-human-CD206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Abcam, Cambridge, UK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anti-human-PD-L1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Cell Signaling Technology, MA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WB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PD-L1-PE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CD14-APC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eBioscience, Frankfurt, Germany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Annexin V-FITC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Thermo Fisher  Scientific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7-AAD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CD3-BV421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CD4-APC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Thermo Fisher Scientific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anti-human CD8-PE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Thermo Fisher Scientific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CD45-APC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eBioscience, Frankfurt, Germany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CD11c-FITC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CD11b-Cy5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eBioscience, Frankfurt, Germany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Ly6G-BV421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anti-mouse F4-80-PE 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eBioscience, Frankfurt, Germany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anti-mouse Ly6C-BV605 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CD3-BV421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 CD4-APC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Thermo Fisher Scientific, MA,USA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anti-mouse CD8-PE 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Thermo Fisher Scientific, MA,USA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FCM,FACS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DCFH-DA Redox Probe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G-Biosciences, MO,USA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MitoSOX™ Red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Thermo Fisher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Scientific, MA,USA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FCM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CD3 ultra-leaf purified antibody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Stimulation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CD28 ultra-leaf purified antibody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Biolegend, CA,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Stimulation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anti-mouse-PDL1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 X cell,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Blocking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Rat IgG isotype control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Bio X cell,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Blocking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anti-mouse-F4/80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Cell Signaling Technology, MA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IHC</w:t>
            </w:r>
          </w:p>
        </w:tc>
      </w:tr>
      <w:tr w:rsidR="006E232E">
        <w:trPr>
          <w:jc w:val="center"/>
        </w:trPr>
        <w:tc>
          <w:tcPr>
            <w:tcW w:w="3096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anti-mouse-PDL1</w:t>
            </w:r>
          </w:p>
        </w:tc>
        <w:tc>
          <w:tcPr>
            <w:tcW w:w="4080" w:type="dxa"/>
          </w:tcPr>
          <w:p w:rsidR="006E232E" w:rsidRDefault="00620FE3">
            <w:pPr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Cell Signaling Technology, MA USA</w:t>
            </w:r>
          </w:p>
        </w:tc>
        <w:tc>
          <w:tcPr>
            <w:tcW w:w="1320" w:type="dxa"/>
          </w:tcPr>
          <w:p w:rsidR="006E232E" w:rsidRDefault="00620FE3">
            <w:pPr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IHC</w:t>
            </w:r>
          </w:p>
        </w:tc>
      </w:tr>
    </w:tbl>
    <w:p w:rsidR="006E232E" w:rsidRDefault="006E232E"/>
    <w:sectPr w:rsidR="006E2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24A" w:rsidRDefault="00D5324A">
      <w:pPr>
        <w:spacing w:line="240" w:lineRule="auto"/>
      </w:pPr>
      <w:r>
        <w:separator/>
      </w:r>
    </w:p>
  </w:endnote>
  <w:endnote w:type="continuationSeparator" w:id="0">
    <w:p w:rsidR="00D5324A" w:rsidRDefault="00D53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24A" w:rsidRDefault="00D5324A">
      <w:pPr>
        <w:spacing w:after="0"/>
      </w:pPr>
      <w:r>
        <w:separator/>
      </w:r>
    </w:p>
  </w:footnote>
  <w:footnote w:type="continuationSeparator" w:id="0">
    <w:p w:rsidR="00D5324A" w:rsidRDefault="00D5324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61B111B"/>
    <w:multiLevelType w:val="singleLevel"/>
    <w:tmpl w:val="B61B111B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A3F"/>
    <w:rsid w:val="00014C3D"/>
    <w:rsid w:val="00025439"/>
    <w:rsid w:val="00125C9F"/>
    <w:rsid w:val="001A138B"/>
    <w:rsid w:val="002456FE"/>
    <w:rsid w:val="002569AF"/>
    <w:rsid w:val="002732A3"/>
    <w:rsid w:val="0027508F"/>
    <w:rsid w:val="00434100"/>
    <w:rsid w:val="004A1615"/>
    <w:rsid w:val="004C0ACB"/>
    <w:rsid w:val="00620FE3"/>
    <w:rsid w:val="006E232E"/>
    <w:rsid w:val="006F7708"/>
    <w:rsid w:val="00737F52"/>
    <w:rsid w:val="00883A3F"/>
    <w:rsid w:val="0088689C"/>
    <w:rsid w:val="008C5130"/>
    <w:rsid w:val="00A4083F"/>
    <w:rsid w:val="00A74A6D"/>
    <w:rsid w:val="00C32202"/>
    <w:rsid w:val="00C4090D"/>
    <w:rsid w:val="00CB352E"/>
    <w:rsid w:val="00D5324A"/>
    <w:rsid w:val="00E71F5B"/>
    <w:rsid w:val="00EE1B43"/>
    <w:rsid w:val="00FA7282"/>
    <w:rsid w:val="067369D2"/>
    <w:rsid w:val="0EC55E7B"/>
    <w:rsid w:val="11AE6D14"/>
    <w:rsid w:val="210C12AE"/>
    <w:rsid w:val="301863FB"/>
    <w:rsid w:val="41A03DAC"/>
    <w:rsid w:val="53173D13"/>
    <w:rsid w:val="589A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FD95AB"/>
  <w15:docId w15:val="{AD885115-39F8-49D0-8233-8271FC86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imSun" w:eastAsia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table" w:styleId="TableGrid">
    <w:name w:val="Table Grid"/>
    <w:basedOn w:val="TableNormal"/>
    <w:qFormat/>
    <w:pPr>
      <w:widowControl w:val="0"/>
      <w:spacing w:after="200" w:line="276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Jefferson University</Company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Abigale Li</dc:creator>
  <cp:lastModifiedBy>Jun He</cp:lastModifiedBy>
  <cp:revision>8</cp:revision>
  <dcterms:created xsi:type="dcterms:W3CDTF">2021-07-24T04:02:00Z</dcterms:created>
  <dcterms:modified xsi:type="dcterms:W3CDTF">2021-12-14T18:45:00Z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5D976234ADC44F6B9EF72CCEBEE60AA1</vt:lpwstr>
  </property>
</Properties>
</file>