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1C60" w14:textId="77777777" w:rsidR="00DF7167" w:rsidRDefault="002C6337">
      <w:pPr>
        <w:spacing w:before="120"/>
        <w:rPr>
          <w:rFonts w:ascii="Times New Roman" w:eastAsia="Times New Roman" w:hAnsi="Times New Roman" w:cs="Times New Roman"/>
        </w:rPr>
      </w:pPr>
      <w:r>
        <w:rPr>
          <w:rFonts w:ascii="Times New Roman" w:eastAsia="Times New Roman" w:hAnsi="Times New Roman" w:cs="Times New Roman"/>
          <w:noProof/>
          <w:color w:val="2B579A"/>
          <w:shd w:val="clear" w:color="auto" w:fill="E6E6E6"/>
        </w:rPr>
        <w:drawing>
          <wp:anchor distT="0" distB="0" distL="114300" distR="114300" simplePos="0" relativeHeight="251658240" behindDoc="0" locked="0" layoutInCell="1" hidden="0" allowOverlap="1" wp14:anchorId="171C48CB" wp14:editId="332145B9">
            <wp:simplePos x="0" y="0"/>
            <wp:positionH relativeFrom="margin">
              <wp:posOffset>754380</wp:posOffset>
            </wp:positionH>
            <wp:positionV relativeFrom="margin">
              <wp:posOffset>-624838</wp:posOffset>
            </wp:positionV>
            <wp:extent cx="4013835" cy="826135"/>
            <wp:effectExtent l="0" t="0" r="0" b="0"/>
            <wp:wrapSquare wrapText="bothSides" distT="0" distB="0" distL="114300" distR="114300"/>
            <wp:docPr id="7"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7"/>
                    <a:srcRect/>
                    <a:stretch>
                      <a:fillRect/>
                    </a:stretch>
                  </pic:blipFill>
                  <pic:spPr>
                    <a:xfrm>
                      <a:off x="0" y="0"/>
                      <a:ext cx="4013835" cy="826135"/>
                    </a:xfrm>
                    <a:prstGeom prst="rect">
                      <a:avLst/>
                    </a:prstGeom>
                    <a:ln/>
                  </pic:spPr>
                </pic:pic>
              </a:graphicData>
            </a:graphic>
          </wp:anchor>
        </w:drawing>
      </w:r>
    </w:p>
    <w:p w14:paraId="1B9C468D" w14:textId="77777777" w:rsidR="00DF7167" w:rsidRDefault="00DF7167">
      <w:pPr>
        <w:spacing w:before="120"/>
        <w:rPr>
          <w:rFonts w:ascii="Times New Roman" w:eastAsia="Times New Roman" w:hAnsi="Times New Roman" w:cs="Times New Roman"/>
        </w:rPr>
      </w:pPr>
    </w:p>
    <w:p w14:paraId="554B4120" w14:textId="6E4FEA80" w:rsidR="00DF7167" w:rsidRDefault="00542019">
      <w:pPr>
        <w:pBdr>
          <w:top w:val="nil"/>
          <w:left w:val="nil"/>
          <w:bottom w:val="nil"/>
          <w:right w:val="nil"/>
          <w:between w:val="nil"/>
        </w:pBdr>
        <w:spacing w:after="120" w:line="300" w:lineRule="auto"/>
        <w:rPr>
          <w:rFonts w:ascii="Times New Roman" w:eastAsia="Times New Roman" w:hAnsi="Times New Roman" w:cs="Times New Roman"/>
          <w:color w:val="000000"/>
          <w:sz w:val="22"/>
          <w:szCs w:val="22"/>
        </w:rPr>
      </w:pPr>
      <w:r w:rsidRPr="00542019">
        <w:rPr>
          <w:rFonts w:ascii="Times New Roman" w:eastAsia="Times New Roman" w:hAnsi="Times New Roman" w:cs="Times New Roman"/>
          <w:b/>
          <w:color w:val="000000"/>
          <w:sz w:val="22"/>
          <w:szCs w:val="22"/>
        </w:rPr>
        <w:t xml:space="preserve">Supplementary </w:t>
      </w:r>
      <w:r w:rsidR="00E44476">
        <w:rPr>
          <w:rFonts w:ascii="Times New Roman" w:eastAsia="Times New Roman" w:hAnsi="Times New Roman" w:cs="Times New Roman"/>
          <w:b/>
          <w:color w:val="000000"/>
          <w:sz w:val="22"/>
          <w:szCs w:val="22"/>
        </w:rPr>
        <w:t>Material</w:t>
      </w:r>
      <w:r w:rsidR="002C6337">
        <w:rPr>
          <w:rFonts w:ascii="Times New Roman" w:eastAsia="Times New Roman" w:hAnsi="Times New Roman" w:cs="Times New Roman"/>
          <w:b/>
          <w:color w:val="000000"/>
          <w:sz w:val="22"/>
          <w:szCs w:val="22"/>
        </w:rPr>
        <w:t xml:space="preserve"> </w:t>
      </w:r>
      <w:r w:rsidR="00166E24">
        <w:rPr>
          <w:rFonts w:ascii="Times New Roman" w:eastAsia="Times New Roman" w:hAnsi="Times New Roman" w:cs="Times New Roman"/>
          <w:b/>
          <w:color w:val="000000"/>
          <w:sz w:val="22"/>
          <w:szCs w:val="22"/>
        </w:rPr>
        <w:t>1</w:t>
      </w:r>
      <w:r w:rsidR="002C6337">
        <w:rPr>
          <w:rFonts w:ascii="Times New Roman" w:eastAsia="Times New Roman" w:hAnsi="Times New Roman" w:cs="Times New Roman"/>
          <w:b/>
          <w:color w:val="000000"/>
          <w:sz w:val="22"/>
          <w:szCs w:val="22"/>
        </w:rPr>
        <w:t>- SPIRIT 2013 Checklist: Recommended items to address in a clinical trial protocol and related documents</w:t>
      </w:r>
      <w:r w:rsidR="002C6337">
        <w:rPr>
          <w:rFonts w:ascii="Times New Roman" w:eastAsia="Times New Roman" w:hAnsi="Times New Roman" w:cs="Times New Roman"/>
          <w:color w:val="000000"/>
          <w:sz w:val="22"/>
          <w:szCs w:val="22"/>
        </w:rPr>
        <w:t>* [1]</w:t>
      </w:r>
    </w:p>
    <w:tbl>
      <w:tblPr>
        <w:tblStyle w:val="a0"/>
        <w:tblW w:w="992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6"/>
        <w:gridCol w:w="993"/>
        <w:gridCol w:w="5250"/>
        <w:gridCol w:w="1420"/>
      </w:tblGrid>
      <w:tr w:rsidR="00DF7167" w14:paraId="714AABAE" w14:textId="77777777">
        <w:trPr>
          <w:cantSplit/>
          <w:trHeight w:val="259"/>
        </w:trPr>
        <w:tc>
          <w:tcPr>
            <w:tcW w:w="2266" w:type="dxa"/>
            <w:shd w:val="clear" w:color="auto" w:fill="auto"/>
            <w:tcMar>
              <w:top w:w="85" w:type="dxa"/>
              <w:bottom w:w="85" w:type="dxa"/>
            </w:tcMar>
          </w:tcPr>
          <w:p w14:paraId="430E416A"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Section/item</w:t>
            </w:r>
          </w:p>
        </w:tc>
        <w:tc>
          <w:tcPr>
            <w:tcW w:w="993" w:type="dxa"/>
            <w:shd w:val="clear" w:color="auto" w:fill="auto"/>
          </w:tcPr>
          <w:p w14:paraId="14F062B7"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Item No</w:t>
            </w:r>
          </w:p>
        </w:tc>
        <w:tc>
          <w:tcPr>
            <w:tcW w:w="5250" w:type="dxa"/>
          </w:tcPr>
          <w:p w14:paraId="6507CCD6"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Description</w:t>
            </w:r>
          </w:p>
        </w:tc>
        <w:tc>
          <w:tcPr>
            <w:tcW w:w="1420" w:type="dxa"/>
          </w:tcPr>
          <w:p w14:paraId="774A1D15"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Reported on Page No</w:t>
            </w:r>
          </w:p>
        </w:tc>
      </w:tr>
      <w:tr w:rsidR="00DF7167" w14:paraId="42F42230" w14:textId="77777777">
        <w:trPr>
          <w:cantSplit/>
          <w:trHeight w:val="259"/>
        </w:trPr>
        <w:tc>
          <w:tcPr>
            <w:tcW w:w="3259" w:type="dxa"/>
            <w:gridSpan w:val="2"/>
          </w:tcPr>
          <w:p w14:paraId="58A9388E" w14:textId="77777777" w:rsidR="00DF7167" w:rsidRDefault="002C63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Administrative information</w:t>
            </w:r>
          </w:p>
        </w:tc>
        <w:tc>
          <w:tcPr>
            <w:tcW w:w="5250" w:type="dxa"/>
          </w:tcPr>
          <w:p w14:paraId="6EEB93A6" w14:textId="77777777" w:rsidR="00DF7167" w:rsidRDefault="00DF7167">
            <w:pPr>
              <w:rPr>
                <w:rFonts w:ascii="Times New Roman" w:eastAsia="Times New Roman" w:hAnsi="Times New Roman" w:cs="Times New Roman"/>
                <w:b/>
                <w:sz w:val="22"/>
                <w:szCs w:val="22"/>
              </w:rPr>
            </w:pPr>
          </w:p>
        </w:tc>
        <w:tc>
          <w:tcPr>
            <w:tcW w:w="1420" w:type="dxa"/>
          </w:tcPr>
          <w:p w14:paraId="5E8C2F01" w14:textId="77777777" w:rsidR="00DF7167" w:rsidRDefault="00DF7167">
            <w:pPr>
              <w:rPr>
                <w:rFonts w:ascii="Times New Roman" w:eastAsia="Times New Roman" w:hAnsi="Times New Roman" w:cs="Times New Roman"/>
                <w:b/>
                <w:sz w:val="22"/>
                <w:szCs w:val="22"/>
              </w:rPr>
            </w:pPr>
          </w:p>
        </w:tc>
      </w:tr>
      <w:tr w:rsidR="00DF7167" w14:paraId="68A8316E" w14:textId="77777777">
        <w:trPr>
          <w:cantSplit/>
          <w:trHeight w:val="259"/>
        </w:trPr>
        <w:tc>
          <w:tcPr>
            <w:tcW w:w="2266" w:type="dxa"/>
            <w:shd w:val="clear" w:color="auto" w:fill="auto"/>
            <w:tcMar>
              <w:top w:w="85" w:type="dxa"/>
              <w:bottom w:w="85" w:type="dxa"/>
            </w:tcMar>
          </w:tcPr>
          <w:p w14:paraId="2AD069B3"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tc>
        <w:tc>
          <w:tcPr>
            <w:tcW w:w="993" w:type="dxa"/>
          </w:tcPr>
          <w:p w14:paraId="1873BED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5250" w:type="dxa"/>
          </w:tcPr>
          <w:p w14:paraId="2B6CE42C"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Descriptive title identifying the study design, population, interventions, and, if applicable, trial acronym</w:t>
            </w:r>
          </w:p>
        </w:tc>
        <w:tc>
          <w:tcPr>
            <w:tcW w:w="1420" w:type="dxa"/>
          </w:tcPr>
          <w:p w14:paraId="0B7A29F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p>
        </w:tc>
      </w:tr>
      <w:tr w:rsidR="00DF7167" w14:paraId="33F7108B" w14:textId="77777777">
        <w:trPr>
          <w:cantSplit/>
          <w:trHeight w:val="259"/>
        </w:trPr>
        <w:tc>
          <w:tcPr>
            <w:tcW w:w="2266" w:type="dxa"/>
            <w:vMerge w:val="restart"/>
            <w:shd w:val="clear" w:color="auto" w:fill="auto"/>
            <w:tcMar>
              <w:top w:w="85" w:type="dxa"/>
              <w:bottom w:w="85" w:type="dxa"/>
            </w:tcMar>
          </w:tcPr>
          <w:p w14:paraId="177D473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Trial registration</w:t>
            </w:r>
          </w:p>
        </w:tc>
        <w:tc>
          <w:tcPr>
            <w:tcW w:w="993" w:type="dxa"/>
          </w:tcPr>
          <w:p w14:paraId="3C21E54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2a</w:t>
            </w:r>
          </w:p>
        </w:tc>
        <w:tc>
          <w:tcPr>
            <w:tcW w:w="5250" w:type="dxa"/>
          </w:tcPr>
          <w:p w14:paraId="7B663FB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Trial identifier and registry name. If not yet registered, name of intended registry</w:t>
            </w:r>
          </w:p>
        </w:tc>
        <w:tc>
          <w:tcPr>
            <w:tcW w:w="1420" w:type="dxa"/>
          </w:tcPr>
          <w:p w14:paraId="1CA65427" w14:textId="32530A57" w:rsidR="00DF7167" w:rsidRPr="00B61918" w:rsidRDefault="002C6337">
            <w:pPr>
              <w:rPr>
                <w:rFonts w:ascii="Times New Roman" w:eastAsia="Times New Roman" w:hAnsi="Times New Roman" w:cs="Times New Roman"/>
                <w:sz w:val="22"/>
                <w:szCs w:val="22"/>
              </w:rPr>
            </w:pPr>
            <w:r w:rsidRPr="00B61918">
              <w:rPr>
                <w:rFonts w:ascii="Times New Roman" w:eastAsia="Times New Roman" w:hAnsi="Times New Roman" w:cs="Times New Roman"/>
                <w:sz w:val="22"/>
                <w:szCs w:val="22"/>
              </w:rPr>
              <w:t>Page</w:t>
            </w:r>
            <w:r w:rsidR="00D04110" w:rsidRPr="00C23D45">
              <w:rPr>
                <w:rFonts w:ascii="Times New Roman" w:eastAsia="Times New Roman" w:hAnsi="Times New Roman" w:cs="Times New Roman"/>
                <w:sz w:val="22"/>
                <w:szCs w:val="22"/>
              </w:rPr>
              <w:t>s</w:t>
            </w:r>
            <w:r w:rsidRPr="00B61918">
              <w:rPr>
                <w:rFonts w:ascii="Times New Roman" w:eastAsia="Times New Roman" w:hAnsi="Times New Roman" w:cs="Times New Roman"/>
                <w:sz w:val="22"/>
                <w:szCs w:val="22"/>
              </w:rPr>
              <w:t xml:space="preserve"> </w:t>
            </w:r>
            <w:r w:rsidR="00D04110" w:rsidRPr="00B61918">
              <w:rPr>
                <w:rFonts w:ascii="Times New Roman" w:eastAsia="Times New Roman" w:hAnsi="Times New Roman" w:cs="Times New Roman"/>
                <w:sz w:val="22"/>
                <w:szCs w:val="22"/>
              </w:rPr>
              <w:t>3-4</w:t>
            </w:r>
          </w:p>
        </w:tc>
      </w:tr>
      <w:tr w:rsidR="00DF7167" w14:paraId="5483BFA3" w14:textId="77777777">
        <w:trPr>
          <w:cantSplit/>
          <w:trHeight w:val="259"/>
        </w:trPr>
        <w:tc>
          <w:tcPr>
            <w:tcW w:w="2266" w:type="dxa"/>
            <w:vMerge/>
            <w:shd w:val="clear" w:color="auto" w:fill="auto"/>
            <w:tcMar>
              <w:top w:w="85" w:type="dxa"/>
              <w:bottom w:w="85" w:type="dxa"/>
            </w:tcMar>
          </w:tcPr>
          <w:p w14:paraId="28427D10" w14:textId="77777777" w:rsidR="00DF7167" w:rsidRDefault="00DF716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3" w:type="dxa"/>
          </w:tcPr>
          <w:p w14:paraId="19C49D1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2b</w:t>
            </w:r>
          </w:p>
        </w:tc>
        <w:tc>
          <w:tcPr>
            <w:tcW w:w="5250" w:type="dxa"/>
          </w:tcPr>
          <w:p w14:paraId="26CC344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items from the World Health Organization Trial Registration Data Set</w:t>
            </w:r>
          </w:p>
        </w:tc>
        <w:tc>
          <w:tcPr>
            <w:tcW w:w="1420" w:type="dxa"/>
          </w:tcPr>
          <w:p w14:paraId="02FD8FD6" w14:textId="36C07A95" w:rsidR="00DF7167" w:rsidRPr="00B61918" w:rsidRDefault="00A3021F">
            <w:pPr>
              <w:rPr>
                <w:rFonts w:ascii="Times New Roman" w:eastAsia="Times New Roman" w:hAnsi="Times New Roman" w:cs="Times New Roman"/>
                <w:sz w:val="22"/>
                <w:szCs w:val="22"/>
              </w:rPr>
            </w:pPr>
            <w:r w:rsidRPr="008B066C">
              <w:rPr>
                <w:rFonts w:ascii="Times New Roman" w:eastAsia="Times New Roman" w:hAnsi="Times New Roman" w:cs="Times New Roman"/>
                <w:color w:val="222222"/>
              </w:rPr>
              <w:t>Please refer to Item 2a and registration in the ClinicalTrials.gov register  - </w:t>
            </w:r>
            <w:hyperlink r:id="rId8" w:tgtFrame="_blank" w:history="1">
              <w:r w:rsidRPr="008B066C">
                <w:rPr>
                  <w:rFonts w:ascii="Times New Roman" w:eastAsia="Times New Roman" w:hAnsi="Times New Roman" w:cs="Times New Roman"/>
                  <w:color w:val="1155CC"/>
                  <w:u w:val="single"/>
                </w:rPr>
                <w:t>https://clinicaltrials.gov/ct2/show/NCT05358990?term=NCT05358990&amp;draw=2&amp;rank=1</w:t>
              </w:r>
            </w:hyperlink>
            <w:r w:rsidRPr="008B066C">
              <w:rPr>
                <w:rFonts w:ascii="Times New Roman" w:eastAsia="Times New Roman" w:hAnsi="Times New Roman" w:cs="Times New Roman"/>
                <w:color w:val="222222"/>
              </w:rPr>
              <w:t>  </w:t>
            </w:r>
            <w:r w:rsidRPr="008B066C">
              <w:rPr>
                <w:rFonts w:ascii="Times New Roman" w:eastAsia="Times New Roman" w:hAnsi="Times New Roman" w:cs="Times New Roman"/>
                <w:color w:val="222222"/>
              </w:rPr>
              <w:br/>
            </w:r>
          </w:p>
        </w:tc>
      </w:tr>
      <w:tr w:rsidR="00DF7167" w14:paraId="38B6AED6" w14:textId="77777777">
        <w:trPr>
          <w:cantSplit/>
          <w:trHeight w:val="259"/>
        </w:trPr>
        <w:tc>
          <w:tcPr>
            <w:tcW w:w="2266" w:type="dxa"/>
            <w:shd w:val="clear" w:color="auto" w:fill="auto"/>
            <w:tcMar>
              <w:top w:w="85" w:type="dxa"/>
              <w:bottom w:w="85" w:type="dxa"/>
            </w:tcMar>
          </w:tcPr>
          <w:p w14:paraId="5D5BA13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Protocol version</w:t>
            </w:r>
          </w:p>
        </w:tc>
        <w:tc>
          <w:tcPr>
            <w:tcW w:w="993" w:type="dxa"/>
          </w:tcPr>
          <w:p w14:paraId="1F44930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5250" w:type="dxa"/>
          </w:tcPr>
          <w:p w14:paraId="24C9111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Date and version identifier</w:t>
            </w:r>
          </w:p>
        </w:tc>
        <w:tc>
          <w:tcPr>
            <w:tcW w:w="1420" w:type="dxa"/>
          </w:tcPr>
          <w:p w14:paraId="50A08261" w14:textId="49AE833C"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5F2F9B">
              <w:rPr>
                <w:rFonts w:ascii="Times New Roman" w:eastAsia="Times New Roman" w:hAnsi="Times New Roman" w:cs="Times New Roman"/>
                <w:sz w:val="22"/>
                <w:szCs w:val="22"/>
              </w:rPr>
              <w:t>s 4; 24</w:t>
            </w:r>
            <w:r>
              <w:rPr>
                <w:rFonts w:ascii="Times New Roman" w:eastAsia="Times New Roman" w:hAnsi="Times New Roman" w:cs="Times New Roman"/>
                <w:sz w:val="22"/>
                <w:szCs w:val="22"/>
              </w:rPr>
              <w:t xml:space="preserve"> </w:t>
            </w:r>
          </w:p>
        </w:tc>
      </w:tr>
      <w:tr w:rsidR="00DF7167" w14:paraId="580A0158" w14:textId="77777777">
        <w:trPr>
          <w:cantSplit/>
          <w:trHeight w:val="259"/>
        </w:trPr>
        <w:tc>
          <w:tcPr>
            <w:tcW w:w="2266" w:type="dxa"/>
            <w:shd w:val="clear" w:color="auto" w:fill="auto"/>
            <w:tcMar>
              <w:top w:w="85" w:type="dxa"/>
              <w:bottom w:w="85" w:type="dxa"/>
            </w:tcMar>
          </w:tcPr>
          <w:p w14:paraId="535E1B4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Funding</w:t>
            </w:r>
          </w:p>
        </w:tc>
        <w:tc>
          <w:tcPr>
            <w:tcW w:w="993" w:type="dxa"/>
          </w:tcPr>
          <w:p w14:paraId="5C49ADAA"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5250" w:type="dxa"/>
          </w:tcPr>
          <w:p w14:paraId="11982D0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Sources and types of financial, material, and other support</w:t>
            </w:r>
          </w:p>
        </w:tc>
        <w:tc>
          <w:tcPr>
            <w:tcW w:w="1420" w:type="dxa"/>
          </w:tcPr>
          <w:p w14:paraId="1604FA7B" w14:textId="1F582244"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B14A86">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B14A86">
              <w:rPr>
                <w:rFonts w:ascii="Times New Roman" w:eastAsia="Times New Roman" w:hAnsi="Times New Roman" w:cs="Times New Roman"/>
                <w:sz w:val="22"/>
                <w:szCs w:val="22"/>
              </w:rPr>
              <w:t>4; 26</w:t>
            </w:r>
          </w:p>
        </w:tc>
      </w:tr>
      <w:tr w:rsidR="00DF7167" w14:paraId="510D1A7F" w14:textId="77777777">
        <w:trPr>
          <w:cantSplit/>
          <w:trHeight w:val="259"/>
        </w:trPr>
        <w:tc>
          <w:tcPr>
            <w:tcW w:w="2266" w:type="dxa"/>
            <w:vMerge w:val="restart"/>
            <w:shd w:val="clear" w:color="auto" w:fill="auto"/>
            <w:tcMar>
              <w:top w:w="85" w:type="dxa"/>
              <w:bottom w:w="85" w:type="dxa"/>
            </w:tcMar>
          </w:tcPr>
          <w:p w14:paraId="12E283CF"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Roles and responsibilities</w:t>
            </w:r>
          </w:p>
        </w:tc>
        <w:tc>
          <w:tcPr>
            <w:tcW w:w="993" w:type="dxa"/>
          </w:tcPr>
          <w:p w14:paraId="16E752D3"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5a</w:t>
            </w:r>
          </w:p>
        </w:tc>
        <w:tc>
          <w:tcPr>
            <w:tcW w:w="5250" w:type="dxa"/>
          </w:tcPr>
          <w:p w14:paraId="43612C1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Names, affiliations, and roles of protocol contributors</w:t>
            </w:r>
          </w:p>
        </w:tc>
        <w:tc>
          <w:tcPr>
            <w:tcW w:w="1420" w:type="dxa"/>
          </w:tcPr>
          <w:p w14:paraId="01E5341E" w14:textId="38085BE9"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F52B2F">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F52B2F">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w:t>
            </w:r>
            <w:r w:rsidR="00F52B2F">
              <w:rPr>
                <w:rFonts w:ascii="Times New Roman" w:eastAsia="Times New Roman" w:hAnsi="Times New Roman" w:cs="Times New Roman"/>
                <w:sz w:val="22"/>
                <w:szCs w:val="22"/>
              </w:rPr>
              <w:t>26</w:t>
            </w:r>
          </w:p>
        </w:tc>
      </w:tr>
      <w:tr w:rsidR="00DF7167" w14:paraId="08EB23E1" w14:textId="77777777">
        <w:trPr>
          <w:cantSplit/>
          <w:trHeight w:val="293"/>
        </w:trPr>
        <w:tc>
          <w:tcPr>
            <w:tcW w:w="2266" w:type="dxa"/>
            <w:vMerge/>
            <w:shd w:val="clear" w:color="auto" w:fill="auto"/>
            <w:tcMar>
              <w:top w:w="85" w:type="dxa"/>
              <w:bottom w:w="85" w:type="dxa"/>
            </w:tcMar>
          </w:tcPr>
          <w:p w14:paraId="7EBE4B6F" w14:textId="77777777" w:rsidR="00DF7167" w:rsidRDefault="00DF716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3" w:type="dxa"/>
          </w:tcPr>
          <w:p w14:paraId="6560D53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5b</w:t>
            </w:r>
          </w:p>
        </w:tc>
        <w:tc>
          <w:tcPr>
            <w:tcW w:w="5250" w:type="dxa"/>
          </w:tcPr>
          <w:p w14:paraId="4EE15F0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and contact information for the trial sponsor</w:t>
            </w:r>
          </w:p>
        </w:tc>
        <w:tc>
          <w:tcPr>
            <w:tcW w:w="1420" w:type="dxa"/>
          </w:tcPr>
          <w:p w14:paraId="370654AC" w14:textId="1D425C68"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302AA5">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302AA5">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w:t>
            </w:r>
            <w:r w:rsidR="00302AA5">
              <w:rPr>
                <w:rFonts w:ascii="Times New Roman" w:eastAsia="Times New Roman" w:hAnsi="Times New Roman" w:cs="Times New Roman"/>
                <w:sz w:val="22"/>
                <w:szCs w:val="22"/>
              </w:rPr>
              <w:t>26</w:t>
            </w:r>
          </w:p>
        </w:tc>
      </w:tr>
      <w:tr w:rsidR="00DF7167" w14:paraId="5EBDF87B" w14:textId="77777777">
        <w:trPr>
          <w:cantSplit/>
          <w:trHeight w:val="259"/>
        </w:trPr>
        <w:tc>
          <w:tcPr>
            <w:tcW w:w="2266" w:type="dxa"/>
            <w:shd w:val="clear" w:color="auto" w:fill="auto"/>
            <w:tcMar>
              <w:top w:w="85" w:type="dxa"/>
              <w:bottom w:w="85" w:type="dxa"/>
            </w:tcMar>
          </w:tcPr>
          <w:p w14:paraId="3FCC169A" w14:textId="77777777" w:rsidR="00DF7167" w:rsidRDefault="00DF7167">
            <w:pPr>
              <w:rPr>
                <w:rFonts w:ascii="Times New Roman" w:eastAsia="Times New Roman" w:hAnsi="Times New Roman" w:cs="Times New Roman"/>
                <w:sz w:val="22"/>
                <w:szCs w:val="22"/>
              </w:rPr>
            </w:pPr>
          </w:p>
        </w:tc>
        <w:tc>
          <w:tcPr>
            <w:tcW w:w="993" w:type="dxa"/>
          </w:tcPr>
          <w:p w14:paraId="138BDDB3"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5c</w:t>
            </w:r>
          </w:p>
        </w:tc>
        <w:tc>
          <w:tcPr>
            <w:tcW w:w="5250" w:type="dxa"/>
          </w:tcPr>
          <w:p w14:paraId="77C4E80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420" w:type="dxa"/>
          </w:tcPr>
          <w:p w14:paraId="58054F3F" w14:textId="46A323D3"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7B334C">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2A212D">
              <w:rPr>
                <w:rFonts w:ascii="Times New Roman" w:eastAsia="Times New Roman" w:hAnsi="Times New Roman" w:cs="Times New Roman"/>
                <w:sz w:val="22"/>
                <w:szCs w:val="22"/>
              </w:rPr>
              <w:t>2</w:t>
            </w:r>
            <w:r w:rsidR="007B334C">
              <w:rPr>
                <w:rFonts w:ascii="Times New Roman" w:eastAsia="Times New Roman" w:hAnsi="Times New Roman" w:cs="Times New Roman"/>
                <w:sz w:val="22"/>
                <w:szCs w:val="22"/>
              </w:rPr>
              <w:t>6-27</w:t>
            </w:r>
          </w:p>
        </w:tc>
      </w:tr>
      <w:tr w:rsidR="00DF7167" w14:paraId="7C0A26BF" w14:textId="77777777">
        <w:trPr>
          <w:cantSplit/>
          <w:trHeight w:val="259"/>
        </w:trPr>
        <w:tc>
          <w:tcPr>
            <w:tcW w:w="2266" w:type="dxa"/>
            <w:shd w:val="clear" w:color="auto" w:fill="auto"/>
            <w:tcMar>
              <w:top w:w="85" w:type="dxa"/>
              <w:bottom w:w="85" w:type="dxa"/>
            </w:tcMar>
          </w:tcPr>
          <w:p w14:paraId="38F2634C" w14:textId="77777777" w:rsidR="00DF7167" w:rsidRDefault="00DF7167">
            <w:pPr>
              <w:rPr>
                <w:rFonts w:ascii="Times New Roman" w:eastAsia="Times New Roman" w:hAnsi="Times New Roman" w:cs="Times New Roman"/>
                <w:sz w:val="22"/>
                <w:szCs w:val="22"/>
              </w:rPr>
            </w:pPr>
          </w:p>
        </w:tc>
        <w:tc>
          <w:tcPr>
            <w:tcW w:w="993" w:type="dxa"/>
          </w:tcPr>
          <w:p w14:paraId="45D8219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5d</w:t>
            </w:r>
          </w:p>
        </w:tc>
        <w:tc>
          <w:tcPr>
            <w:tcW w:w="5250" w:type="dxa"/>
          </w:tcPr>
          <w:p w14:paraId="0F8C920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420" w:type="dxa"/>
          </w:tcPr>
          <w:p w14:paraId="1ECB65B9" w14:textId="7BA226B9" w:rsidR="00DF7167" w:rsidRDefault="00D36F3D">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BA5323">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2</w:t>
            </w:r>
            <w:r w:rsidR="00BA5323">
              <w:rPr>
                <w:rFonts w:ascii="Times New Roman" w:eastAsia="Times New Roman" w:hAnsi="Times New Roman" w:cs="Times New Roman"/>
                <w:sz w:val="22"/>
                <w:szCs w:val="22"/>
              </w:rPr>
              <w:t>6-27</w:t>
            </w:r>
          </w:p>
        </w:tc>
      </w:tr>
      <w:tr w:rsidR="00DF7167" w14:paraId="7819E3E5" w14:textId="77777777">
        <w:trPr>
          <w:cantSplit/>
          <w:trHeight w:val="259"/>
        </w:trPr>
        <w:tc>
          <w:tcPr>
            <w:tcW w:w="2266" w:type="dxa"/>
            <w:shd w:val="clear" w:color="auto" w:fill="auto"/>
            <w:tcMar>
              <w:top w:w="85" w:type="dxa"/>
              <w:bottom w:w="85" w:type="dxa"/>
            </w:tcMar>
          </w:tcPr>
          <w:p w14:paraId="2C7D6499"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Introduction</w:t>
            </w:r>
          </w:p>
        </w:tc>
        <w:tc>
          <w:tcPr>
            <w:tcW w:w="993" w:type="dxa"/>
          </w:tcPr>
          <w:p w14:paraId="61891B1F" w14:textId="77777777" w:rsidR="00DF7167" w:rsidRDefault="00DF7167">
            <w:pPr>
              <w:rPr>
                <w:rFonts w:ascii="Times New Roman" w:eastAsia="Times New Roman" w:hAnsi="Times New Roman" w:cs="Times New Roman"/>
                <w:sz w:val="22"/>
                <w:szCs w:val="22"/>
              </w:rPr>
            </w:pPr>
          </w:p>
        </w:tc>
        <w:tc>
          <w:tcPr>
            <w:tcW w:w="5250" w:type="dxa"/>
          </w:tcPr>
          <w:p w14:paraId="63E2506C" w14:textId="77777777" w:rsidR="00DF7167" w:rsidRDefault="00DF7167">
            <w:pPr>
              <w:rPr>
                <w:rFonts w:ascii="Times New Roman" w:eastAsia="Times New Roman" w:hAnsi="Times New Roman" w:cs="Times New Roman"/>
                <w:sz w:val="22"/>
                <w:szCs w:val="22"/>
              </w:rPr>
            </w:pPr>
          </w:p>
        </w:tc>
        <w:tc>
          <w:tcPr>
            <w:tcW w:w="1420" w:type="dxa"/>
          </w:tcPr>
          <w:p w14:paraId="7C34291B" w14:textId="77777777" w:rsidR="00DF7167" w:rsidRDefault="00DF7167">
            <w:pPr>
              <w:rPr>
                <w:rFonts w:ascii="Times New Roman" w:eastAsia="Times New Roman" w:hAnsi="Times New Roman" w:cs="Times New Roman"/>
                <w:sz w:val="22"/>
                <w:szCs w:val="22"/>
              </w:rPr>
            </w:pPr>
          </w:p>
        </w:tc>
      </w:tr>
      <w:tr w:rsidR="00DF7167" w14:paraId="32CCDC6F" w14:textId="77777777">
        <w:trPr>
          <w:cantSplit/>
          <w:trHeight w:val="259"/>
        </w:trPr>
        <w:tc>
          <w:tcPr>
            <w:tcW w:w="2266" w:type="dxa"/>
            <w:shd w:val="clear" w:color="auto" w:fill="auto"/>
            <w:tcMar>
              <w:top w:w="85" w:type="dxa"/>
              <w:bottom w:w="85" w:type="dxa"/>
            </w:tcMar>
          </w:tcPr>
          <w:p w14:paraId="1448C86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Background and rationale</w:t>
            </w:r>
          </w:p>
        </w:tc>
        <w:tc>
          <w:tcPr>
            <w:tcW w:w="993" w:type="dxa"/>
          </w:tcPr>
          <w:p w14:paraId="473C9C7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6a</w:t>
            </w:r>
          </w:p>
        </w:tc>
        <w:tc>
          <w:tcPr>
            <w:tcW w:w="5250" w:type="dxa"/>
          </w:tcPr>
          <w:p w14:paraId="7B4A550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of research question and justification for undertaking the trial, including summary of relevant studies (published and unpublished) examining benefits and harms for each intervention</w:t>
            </w:r>
          </w:p>
        </w:tc>
        <w:tc>
          <w:tcPr>
            <w:tcW w:w="1420" w:type="dxa"/>
          </w:tcPr>
          <w:p w14:paraId="6DAD7776" w14:textId="240F77AC"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945C12">
              <w:rPr>
                <w:rFonts w:ascii="Times New Roman" w:eastAsia="Times New Roman" w:hAnsi="Times New Roman" w:cs="Times New Roman"/>
                <w:sz w:val="22"/>
                <w:szCs w:val="22"/>
              </w:rPr>
              <w:t xml:space="preserve"> 8</w:t>
            </w:r>
          </w:p>
        </w:tc>
      </w:tr>
      <w:tr w:rsidR="00DF7167" w14:paraId="191F2611" w14:textId="77777777">
        <w:trPr>
          <w:cantSplit/>
          <w:trHeight w:val="259"/>
        </w:trPr>
        <w:tc>
          <w:tcPr>
            <w:tcW w:w="2266" w:type="dxa"/>
            <w:shd w:val="clear" w:color="auto" w:fill="auto"/>
            <w:tcMar>
              <w:top w:w="85" w:type="dxa"/>
              <w:bottom w:w="85" w:type="dxa"/>
            </w:tcMar>
          </w:tcPr>
          <w:p w14:paraId="78315DD2" w14:textId="77777777" w:rsidR="00DF7167" w:rsidRDefault="00DF7167">
            <w:pPr>
              <w:rPr>
                <w:rFonts w:ascii="Times New Roman" w:eastAsia="Times New Roman" w:hAnsi="Times New Roman" w:cs="Times New Roman"/>
                <w:sz w:val="22"/>
                <w:szCs w:val="22"/>
              </w:rPr>
            </w:pPr>
          </w:p>
        </w:tc>
        <w:tc>
          <w:tcPr>
            <w:tcW w:w="993" w:type="dxa"/>
          </w:tcPr>
          <w:p w14:paraId="18E936C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6b</w:t>
            </w:r>
          </w:p>
        </w:tc>
        <w:tc>
          <w:tcPr>
            <w:tcW w:w="5250" w:type="dxa"/>
          </w:tcPr>
          <w:p w14:paraId="45E742F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Explanation for choice of comparators</w:t>
            </w:r>
          </w:p>
        </w:tc>
        <w:tc>
          <w:tcPr>
            <w:tcW w:w="1420" w:type="dxa"/>
          </w:tcPr>
          <w:p w14:paraId="53FFD870" w14:textId="006ED136"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5C12">
              <w:rPr>
                <w:rFonts w:ascii="Times New Roman" w:eastAsia="Times New Roman" w:hAnsi="Times New Roman" w:cs="Times New Roman"/>
                <w:sz w:val="22"/>
                <w:szCs w:val="22"/>
              </w:rPr>
              <w:t>9</w:t>
            </w:r>
          </w:p>
        </w:tc>
      </w:tr>
      <w:tr w:rsidR="00DF7167" w14:paraId="52E8E793" w14:textId="77777777">
        <w:trPr>
          <w:cantSplit/>
          <w:trHeight w:val="259"/>
        </w:trPr>
        <w:tc>
          <w:tcPr>
            <w:tcW w:w="2266" w:type="dxa"/>
            <w:shd w:val="clear" w:color="auto" w:fill="auto"/>
            <w:tcMar>
              <w:top w:w="85" w:type="dxa"/>
              <w:bottom w:w="85" w:type="dxa"/>
            </w:tcMar>
          </w:tcPr>
          <w:p w14:paraId="5B042ACC"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w:t>
            </w:r>
          </w:p>
        </w:tc>
        <w:tc>
          <w:tcPr>
            <w:tcW w:w="993" w:type="dxa"/>
          </w:tcPr>
          <w:p w14:paraId="49EABF0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5250" w:type="dxa"/>
          </w:tcPr>
          <w:p w14:paraId="4DAF777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Specific objectives or hypotheses</w:t>
            </w:r>
          </w:p>
        </w:tc>
        <w:tc>
          <w:tcPr>
            <w:tcW w:w="1420" w:type="dxa"/>
          </w:tcPr>
          <w:p w14:paraId="5F86D6BD" w14:textId="365CC249"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5C12">
              <w:rPr>
                <w:rFonts w:ascii="Times New Roman" w:eastAsia="Times New Roman" w:hAnsi="Times New Roman" w:cs="Times New Roman"/>
                <w:sz w:val="22"/>
                <w:szCs w:val="22"/>
              </w:rPr>
              <w:t>9</w:t>
            </w:r>
          </w:p>
        </w:tc>
      </w:tr>
      <w:tr w:rsidR="00DF7167" w14:paraId="069EDC28" w14:textId="77777777">
        <w:trPr>
          <w:cantSplit/>
          <w:trHeight w:val="1241"/>
        </w:trPr>
        <w:tc>
          <w:tcPr>
            <w:tcW w:w="2266" w:type="dxa"/>
            <w:shd w:val="clear" w:color="auto" w:fill="auto"/>
            <w:tcMar>
              <w:top w:w="85" w:type="dxa"/>
              <w:bottom w:w="85" w:type="dxa"/>
            </w:tcMar>
          </w:tcPr>
          <w:p w14:paraId="4C08E73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Trial design</w:t>
            </w:r>
          </w:p>
        </w:tc>
        <w:tc>
          <w:tcPr>
            <w:tcW w:w="993" w:type="dxa"/>
          </w:tcPr>
          <w:p w14:paraId="0C9B09A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5250" w:type="dxa"/>
          </w:tcPr>
          <w:p w14:paraId="32CD983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of trial design including type of trial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parallel group, crossover, factorial, single group), allocation ratio, and framework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superiority, equivalence, noninferiority, exploratory)</w:t>
            </w:r>
          </w:p>
        </w:tc>
        <w:tc>
          <w:tcPr>
            <w:tcW w:w="1420" w:type="dxa"/>
          </w:tcPr>
          <w:p w14:paraId="145471CF" w14:textId="1F9630CE"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5C12">
              <w:rPr>
                <w:rFonts w:ascii="Times New Roman" w:eastAsia="Times New Roman" w:hAnsi="Times New Roman" w:cs="Times New Roman"/>
                <w:sz w:val="22"/>
                <w:szCs w:val="22"/>
              </w:rPr>
              <w:t>10</w:t>
            </w:r>
          </w:p>
        </w:tc>
      </w:tr>
      <w:tr w:rsidR="00DF7167" w14:paraId="7218AEA2" w14:textId="77777777">
        <w:trPr>
          <w:cantSplit/>
          <w:trHeight w:val="259"/>
        </w:trPr>
        <w:tc>
          <w:tcPr>
            <w:tcW w:w="3259" w:type="dxa"/>
            <w:gridSpan w:val="2"/>
            <w:shd w:val="clear" w:color="auto" w:fill="FFFFFF"/>
          </w:tcPr>
          <w:p w14:paraId="1770A8B9"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Methods: Participants, interventions, and outcomes</w:t>
            </w:r>
          </w:p>
        </w:tc>
        <w:tc>
          <w:tcPr>
            <w:tcW w:w="5250" w:type="dxa"/>
            <w:shd w:val="clear" w:color="auto" w:fill="FFFFFF"/>
          </w:tcPr>
          <w:p w14:paraId="580591E7" w14:textId="77777777" w:rsidR="00DF7167" w:rsidRDefault="00DF7167">
            <w:pPr>
              <w:pBdr>
                <w:top w:val="nil"/>
                <w:left w:val="nil"/>
                <w:bottom w:val="nil"/>
                <w:right w:val="nil"/>
                <w:between w:val="nil"/>
              </w:pBdr>
              <w:spacing w:before="120"/>
              <w:rPr>
                <w:rFonts w:ascii="Times New Roman" w:eastAsia="Times New Roman" w:hAnsi="Times New Roman" w:cs="Times New Roman"/>
                <w:b/>
                <w:color w:val="000000"/>
                <w:sz w:val="22"/>
                <w:szCs w:val="22"/>
              </w:rPr>
            </w:pPr>
          </w:p>
        </w:tc>
        <w:tc>
          <w:tcPr>
            <w:tcW w:w="1420" w:type="dxa"/>
            <w:shd w:val="clear" w:color="auto" w:fill="FFFFFF"/>
          </w:tcPr>
          <w:p w14:paraId="68BB3CCF" w14:textId="77777777" w:rsidR="00DF7167" w:rsidRDefault="00DF7167">
            <w:pPr>
              <w:pBdr>
                <w:top w:val="nil"/>
                <w:left w:val="nil"/>
                <w:bottom w:val="nil"/>
                <w:right w:val="nil"/>
                <w:between w:val="nil"/>
              </w:pBdr>
              <w:spacing w:before="120"/>
              <w:rPr>
                <w:rFonts w:ascii="Times New Roman" w:eastAsia="Times New Roman" w:hAnsi="Times New Roman" w:cs="Times New Roman"/>
                <w:b/>
                <w:color w:val="000000"/>
                <w:sz w:val="22"/>
                <w:szCs w:val="22"/>
              </w:rPr>
            </w:pPr>
          </w:p>
        </w:tc>
      </w:tr>
      <w:tr w:rsidR="00DF7167" w14:paraId="005ED12E" w14:textId="77777777">
        <w:trPr>
          <w:cantSplit/>
          <w:trHeight w:val="259"/>
        </w:trPr>
        <w:tc>
          <w:tcPr>
            <w:tcW w:w="2266" w:type="dxa"/>
            <w:shd w:val="clear" w:color="auto" w:fill="auto"/>
            <w:tcMar>
              <w:top w:w="85" w:type="dxa"/>
              <w:bottom w:w="85" w:type="dxa"/>
            </w:tcMar>
          </w:tcPr>
          <w:p w14:paraId="37F06A1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Study setting</w:t>
            </w:r>
          </w:p>
        </w:tc>
        <w:tc>
          <w:tcPr>
            <w:tcW w:w="993" w:type="dxa"/>
          </w:tcPr>
          <w:p w14:paraId="1D2314A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5250" w:type="dxa"/>
          </w:tcPr>
          <w:p w14:paraId="65DB2C4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of study settings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community clinic, academic hospital) and list of countries where data will be collected. Reference to where list of study sites can be obtained</w:t>
            </w:r>
          </w:p>
        </w:tc>
        <w:tc>
          <w:tcPr>
            <w:tcW w:w="1420" w:type="dxa"/>
          </w:tcPr>
          <w:p w14:paraId="243E2D5B" w14:textId="5FDB1C4F"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5C12">
              <w:rPr>
                <w:rFonts w:ascii="Times New Roman" w:eastAsia="Times New Roman" w:hAnsi="Times New Roman" w:cs="Times New Roman"/>
                <w:sz w:val="22"/>
                <w:szCs w:val="22"/>
              </w:rPr>
              <w:t>10</w:t>
            </w:r>
          </w:p>
        </w:tc>
      </w:tr>
      <w:tr w:rsidR="00DF7167" w14:paraId="0635D6D7" w14:textId="77777777">
        <w:trPr>
          <w:cantSplit/>
          <w:trHeight w:val="259"/>
        </w:trPr>
        <w:tc>
          <w:tcPr>
            <w:tcW w:w="2266" w:type="dxa"/>
            <w:shd w:val="clear" w:color="auto" w:fill="FFFFFF"/>
            <w:tcMar>
              <w:top w:w="85" w:type="dxa"/>
              <w:bottom w:w="85" w:type="dxa"/>
            </w:tcMar>
          </w:tcPr>
          <w:p w14:paraId="508B926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Eligibility criteria</w:t>
            </w:r>
          </w:p>
        </w:tc>
        <w:tc>
          <w:tcPr>
            <w:tcW w:w="993" w:type="dxa"/>
            <w:shd w:val="clear" w:color="auto" w:fill="FFFFFF"/>
          </w:tcPr>
          <w:p w14:paraId="157B3D5A"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5250" w:type="dxa"/>
            <w:shd w:val="clear" w:color="auto" w:fill="FFFFFF"/>
          </w:tcPr>
          <w:p w14:paraId="33ED6AB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Inclusion and exclusion criteria for participants. If applicable, eligibility criteria for study centres and individuals who will perform the interventions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surgeons, psychotherapists)</w:t>
            </w:r>
          </w:p>
        </w:tc>
        <w:tc>
          <w:tcPr>
            <w:tcW w:w="1420" w:type="dxa"/>
            <w:shd w:val="clear" w:color="auto" w:fill="FFFFFF"/>
          </w:tcPr>
          <w:p w14:paraId="36236065" w14:textId="73D9FBDB"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w:t>
            </w:r>
            <w:r w:rsidR="00945C12">
              <w:rPr>
                <w:rFonts w:ascii="Times New Roman" w:eastAsia="Times New Roman" w:hAnsi="Times New Roman" w:cs="Times New Roman"/>
                <w:sz w:val="22"/>
                <w:szCs w:val="22"/>
              </w:rPr>
              <w:t>s 11-12</w:t>
            </w:r>
          </w:p>
        </w:tc>
      </w:tr>
      <w:tr w:rsidR="00DF7167" w14:paraId="19412206" w14:textId="77777777">
        <w:trPr>
          <w:cantSplit/>
          <w:trHeight w:val="259"/>
        </w:trPr>
        <w:tc>
          <w:tcPr>
            <w:tcW w:w="2266" w:type="dxa"/>
            <w:vMerge w:val="restart"/>
            <w:shd w:val="clear" w:color="auto" w:fill="FFFFFF"/>
            <w:tcMar>
              <w:top w:w="85" w:type="dxa"/>
              <w:bottom w:w="85" w:type="dxa"/>
            </w:tcMar>
          </w:tcPr>
          <w:p w14:paraId="5A7FA8E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Interventions</w:t>
            </w:r>
          </w:p>
        </w:tc>
        <w:tc>
          <w:tcPr>
            <w:tcW w:w="993" w:type="dxa"/>
            <w:shd w:val="clear" w:color="auto" w:fill="FFFFFF"/>
          </w:tcPr>
          <w:p w14:paraId="6E7FABF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11a</w:t>
            </w:r>
          </w:p>
        </w:tc>
        <w:tc>
          <w:tcPr>
            <w:tcW w:w="5250" w:type="dxa"/>
            <w:shd w:val="clear" w:color="auto" w:fill="FFFFFF"/>
          </w:tcPr>
          <w:p w14:paraId="32F4FAD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Interventions for each group with sufficient detail to allow replication, including how and when they will be administered</w:t>
            </w:r>
          </w:p>
        </w:tc>
        <w:tc>
          <w:tcPr>
            <w:tcW w:w="1420" w:type="dxa"/>
            <w:shd w:val="clear" w:color="auto" w:fill="FFFFFF"/>
          </w:tcPr>
          <w:p w14:paraId="7B4821AF" w14:textId="0C9FF5C0"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5C12">
              <w:rPr>
                <w:rFonts w:ascii="Times New Roman" w:eastAsia="Times New Roman" w:hAnsi="Times New Roman" w:cs="Times New Roman"/>
                <w:sz w:val="22"/>
                <w:szCs w:val="22"/>
              </w:rPr>
              <w:t>13</w:t>
            </w:r>
          </w:p>
        </w:tc>
      </w:tr>
      <w:tr w:rsidR="00DF7167" w14:paraId="785FECAB" w14:textId="77777777">
        <w:trPr>
          <w:cantSplit/>
          <w:trHeight w:val="259"/>
        </w:trPr>
        <w:tc>
          <w:tcPr>
            <w:tcW w:w="2266" w:type="dxa"/>
            <w:vMerge/>
            <w:shd w:val="clear" w:color="auto" w:fill="FFFFFF"/>
            <w:tcMar>
              <w:top w:w="85" w:type="dxa"/>
              <w:bottom w:w="85" w:type="dxa"/>
            </w:tcMar>
          </w:tcPr>
          <w:p w14:paraId="72C305EF" w14:textId="77777777" w:rsidR="00DF7167" w:rsidRDefault="00DF716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3" w:type="dxa"/>
            <w:shd w:val="clear" w:color="auto" w:fill="FFFFFF"/>
          </w:tcPr>
          <w:p w14:paraId="3EC7A62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11b</w:t>
            </w:r>
          </w:p>
        </w:tc>
        <w:tc>
          <w:tcPr>
            <w:tcW w:w="5250" w:type="dxa"/>
            <w:shd w:val="clear" w:color="auto" w:fill="FFFFFF"/>
          </w:tcPr>
          <w:p w14:paraId="0C3DD14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Criteria for discontinuing or modifying allocated interventions for a given trial participant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drug dose change in response to harms, participant request, or improving/worsening disease)</w:t>
            </w:r>
          </w:p>
        </w:tc>
        <w:tc>
          <w:tcPr>
            <w:tcW w:w="1420" w:type="dxa"/>
            <w:shd w:val="clear" w:color="auto" w:fill="FFFFFF"/>
          </w:tcPr>
          <w:p w14:paraId="12E9FE10" w14:textId="77777777" w:rsidR="00C822E9" w:rsidRDefault="00C822E9">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13</w:t>
            </w:r>
          </w:p>
          <w:p w14:paraId="3A916F19" w14:textId="75CC89C0"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E4753F">
              <w:rPr>
                <w:rFonts w:ascii="Times New Roman" w:eastAsia="Times New Roman" w:hAnsi="Times New Roman" w:cs="Times New Roman"/>
                <w:sz w:val="22"/>
                <w:szCs w:val="22"/>
              </w:rPr>
              <w:t>ot applicable; this is a non-clinical intervention. There will be no special criteri</w:t>
            </w:r>
            <w:r w:rsidR="00B61918">
              <w:rPr>
                <w:rFonts w:ascii="Times New Roman" w:eastAsia="Times New Roman" w:hAnsi="Times New Roman" w:cs="Times New Roman"/>
                <w:sz w:val="22"/>
                <w:szCs w:val="22"/>
              </w:rPr>
              <w:t>on</w:t>
            </w:r>
            <w:r w:rsidR="00E4753F">
              <w:rPr>
                <w:rFonts w:ascii="Times New Roman" w:eastAsia="Times New Roman" w:hAnsi="Times New Roman" w:cs="Times New Roman"/>
                <w:sz w:val="22"/>
                <w:szCs w:val="22"/>
              </w:rPr>
              <w:t xml:space="preserve"> for discontinuing or modifying allocated intervention.</w:t>
            </w:r>
          </w:p>
        </w:tc>
      </w:tr>
      <w:tr w:rsidR="00DF7167" w14:paraId="59D14B8D" w14:textId="77777777">
        <w:trPr>
          <w:cantSplit/>
          <w:trHeight w:val="259"/>
        </w:trPr>
        <w:tc>
          <w:tcPr>
            <w:tcW w:w="2266" w:type="dxa"/>
            <w:vMerge/>
            <w:shd w:val="clear" w:color="auto" w:fill="FFFFFF"/>
            <w:tcMar>
              <w:top w:w="85" w:type="dxa"/>
              <w:bottom w:w="85" w:type="dxa"/>
            </w:tcMar>
          </w:tcPr>
          <w:p w14:paraId="13074D1E" w14:textId="77777777" w:rsidR="00DF7167" w:rsidRDefault="00DF716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3" w:type="dxa"/>
            <w:shd w:val="clear" w:color="auto" w:fill="FFFFFF"/>
          </w:tcPr>
          <w:p w14:paraId="1A26281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11c</w:t>
            </w:r>
          </w:p>
        </w:tc>
        <w:tc>
          <w:tcPr>
            <w:tcW w:w="5250" w:type="dxa"/>
            <w:shd w:val="clear" w:color="auto" w:fill="FFFFFF"/>
          </w:tcPr>
          <w:p w14:paraId="44DC593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Strategies to improve adherence to intervention protocols, and any procedures for monitoring adherence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drug tablet return, laboratory tests)</w:t>
            </w:r>
          </w:p>
        </w:tc>
        <w:tc>
          <w:tcPr>
            <w:tcW w:w="1420" w:type="dxa"/>
            <w:shd w:val="clear" w:color="auto" w:fill="FFFFFF"/>
          </w:tcPr>
          <w:p w14:paraId="30AA7E0C" w14:textId="42CD7779" w:rsidR="00DF7167" w:rsidRDefault="00897561">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945C12">
              <w:rPr>
                <w:rFonts w:ascii="Times New Roman" w:eastAsia="Times New Roman" w:hAnsi="Times New Roman" w:cs="Times New Roman"/>
                <w:sz w:val="22"/>
                <w:szCs w:val="22"/>
              </w:rPr>
              <w:t>3</w:t>
            </w:r>
          </w:p>
          <w:p w14:paraId="5458480F" w14:textId="4682621E" w:rsidR="00897561" w:rsidRDefault="00897561">
            <w:pPr>
              <w:rPr>
                <w:rFonts w:ascii="Times New Roman" w:eastAsia="Times New Roman" w:hAnsi="Times New Roman" w:cs="Times New Roman"/>
                <w:sz w:val="22"/>
                <w:szCs w:val="22"/>
              </w:rPr>
            </w:pPr>
            <w:r>
              <w:rPr>
                <w:rFonts w:ascii="Times New Roman" w:eastAsia="Times New Roman" w:hAnsi="Times New Roman" w:cs="Times New Roman"/>
                <w:sz w:val="22"/>
                <w:szCs w:val="22"/>
              </w:rPr>
              <w:t>There will be no direct incentive to adhere to the intervention, however, if participants complete the survey, they will get a chance to win a gift card.</w:t>
            </w:r>
          </w:p>
        </w:tc>
      </w:tr>
      <w:tr w:rsidR="00DF7167" w14:paraId="190D8CB3" w14:textId="77777777">
        <w:trPr>
          <w:cantSplit/>
          <w:trHeight w:val="259"/>
        </w:trPr>
        <w:tc>
          <w:tcPr>
            <w:tcW w:w="2266" w:type="dxa"/>
            <w:vMerge/>
            <w:shd w:val="clear" w:color="auto" w:fill="FFFFFF"/>
            <w:tcMar>
              <w:top w:w="85" w:type="dxa"/>
              <w:bottom w:w="85" w:type="dxa"/>
            </w:tcMar>
          </w:tcPr>
          <w:p w14:paraId="4D4C53D6" w14:textId="77777777" w:rsidR="00DF7167" w:rsidRDefault="00DF716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3" w:type="dxa"/>
            <w:shd w:val="clear" w:color="auto" w:fill="FFFFFF"/>
          </w:tcPr>
          <w:p w14:paraId="04391D0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11d</w:t>
            </w:r>
          </w:p>
        </w:tc>
        <w:tc>
          <w:tcPr>
            <w:tcW w:w="5250" w:type="dxa"/>
            <w:shd w:val="clear" w:color="auto" w:fill="FFFFFF"/>
          </w:tcPr>
          <w:p w14:paraId="1E1A3DD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Relevant concomitant care and interventions that are permitted or prohibited during the trial</w:t>
            </w:r>
          </w:p>
        </w:tc>
        <w:tc>
          <w:tcPr>
            <w:tcW w:w="1420" w:type="dxa"/>
            <w:shd w:val="clear" w:color="auto" w:fill="FFFFFF"/>
          </w:tcPr>
          <w:p w14:paraId="391FF695" w14:textId="5F6D2603" w:rsidR="00DF7167" w:rsidRDefault="00331FAF">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13</w:t>
            </w:r>
          </w:p>
          <w:p w14:paraId="6FC2A3A9" w14:textId="04B7ED15" w:rsidR="00331FAF" w:rsidRDefault="00331FAF">
            <w:pPr>
              <w:rPr>
                <w:rFonts w:ascii="Times New Roman" w:eastAsia="Times New Roman" w:hAnsi="Times New Roman" w:cs="Times New Roman"/>
                <w:sz w:val="22"/>
                <w:szCs w:val="22"/>
              </w:rPr>
            </w:pPr>
            <w:r>
              <w:rPr>
                <w:rFonts w:ascii="Times New Roman" w:eastAsia="Times New Roman" w:hAnsi="Times New Roman" w:cs="Times New Roman"/>
                <w:sz w:val="22"/>
                <w:szCs w:val="22"/>
              </w:rPr>
              <w:t>Not applicable. Since this is a non-clinical trial, receiving either the intervention or the control will not require alteration to any</w:t>
            </w:r>
            <w:r w:rsidR="00E82759">
              <w:rPr>
                <w:rFonts w:ascii="Times New Roman" w:eastAsia="Times New Roman" w:hAnsi="Times New Roman" w:cs="Times New Roman"/>
                <w:sz w:val="22"/>
                <w:szCs w:val="22"/>
              </w:rPr>
              <w:t xml:space="preserve"> part</w:t>
            </w:r>
            <w:r>
              <w:rPr>
                <w:rFonts w:ascii="Times New Roman" w:eastAsia="Times New Roman" w:hAnsi="Times New Roman" w:cs="Times New Roman"/>
                <w:sz w:val="22"/>
                <w:szCs w:val="22"/>
              </w:rPr>
              <w:t xml:space="preserve"> of the participant’s life.</w:t>
            </w:r>
          </w:p>
        </w:tc>
      </w:tr>
      <w:tr w:rsidR="00DF7167" w14:paraId="7F7EA944" w14:textId="77777777">
        <w:trPr>
          <w:cantSplit/>
          <w:trHeight w:val="259"/>
        </w:trPr>
        <w:tc>
          <w:tcPr>
            <w:tcW w:w="2266" w:type="dxa"/>
            <w:shd w:val="clear" w:color="auto" w:fill="FFFFFF"/>
            <w:tcMar>
              <w:top w:w="85" w:type="dxa"/>
              <w:bottom w:w="85" w:type="dxa"/>
            </w:tcMar>
          </w:tcPr>
          <w:p w14:paraId="37DB5DB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Outcomes</w:t>
            </w:r>
          </w:p>
        </w:tc>
        <w:tc>
          <w:tcPr>
            <w:tcW w:w="993" w:type="dxa"/>
            <w:shd w:val="clear" w:color="auto" w:fill="FFFFFF"/>
          </w:tcPr>
          <w:p w14:paraId="75A6C8CF"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5250" w:type="dxa"/>
            <w:shd w:val="clear" w:color="auto" w:fill="FFFFFF"/>
          </w:tcPr>
          <w:p w14:paraId="1A72A82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Primary, secondary, and other outcomes, including the specific measurement variable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systolic blood pressure), analysis metric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change from baseline, final value, time to event), method of aggregation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median, proportion), and time point for each outcome. Explanation of the clinical relevance of chosen efficacy and harm outcomes is strongly recommended</w:t>
            </w:r>
          </w:p>
        </w:tc>
        <w:tc>
          <w:tcPr>
            <w:tcW w:w="1420" w:type="dxa"/>
            <w:shd w:val="clear" w:color="auto" w:fill="FFFFFF"/>
          </w:tcPr>
          <w:p w14:paraId="3BA9E338" w14:textId="79581EBF"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67880">
              <w:rPr>
                <w:rFonts w:ascii="Times New Roman" w:eastAsia="Times New Roman" w:hAnsi="Times New Roman" w:cs="Times New Roman"/>
                <w:sz w:val="22"/>
                <w:szCs w:val="22"/>
              </w:rPr>
              <w:t>4</w:t>
            </w:r>
          </w:p>
        </w:tc>
      </w:tr>
      <w:tr w:rsidR="00DF7167" w14:paraId="1372F799" w14:textId="77777777">
        <w:trPr>
          <w:cantSplit/>
          <w:trHeight w:val="259"/>
        </w:trPr>
        <w:tc>
          <w:tcPr>
            <w:tcW w:w="2266" w:type="dxa"/>
            <w:shd w:val="clear" w:color="auto" w:fill="FFFFFF"/>
            <w:tcMar>
              <w:top w:w="85" w:type="dxa"/>
              <w:bottom w:w="85" w:type="dxa"/>
            </w:tcMar>
          </w:tcPr>
          <w:p w14:paraId="3930924F"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Participant timeline</w:t>
            </w:r>
          </w:p>
        </w:tc>
        <w:tc>
          <w:tcPr>
            <w:tcW w:w="993" w:type="dxa"/>
            <w:shd w:val="clear" w:color="auto" w:fill="FFFFFF"/>
          </w:tcPr>
          <w:p w14:paraId="1769BD3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5250" w:type="dxa"/>
            <w:shd w:val="clear" w:color="auto" w:fill="FFFFFF"/>
          </w:tcPr>
          <w:p w14:paraId="4E8D8D2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Time schedule of enrolment, interventions (including any run-ins and washouts), assessments, and visits for participants. A schematic diagram is highly recommended (see Figure)</w:t>
            </w:r>
          </w:p>
        </w:tc>
        <w:tc>
          <w:tcPr>
            <w:tcW w:w="1420" w:type="dxa"/>
            <w:shd w:val="clear" w:color="auto" w:fill="FFFFFF"/>
          </w:tcPr>
          <w:p w14:paraId="276CC94B" w14:textId="44A0878A"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667880">
              <w:rPr>
                <w:rFonts w:ascii="Times New Roman" w:eastAsia="Times New Roman" w:hAnsi="Times New Roman" w:cs="Times New Roman"/>
                <w:sz w:val="22"/>
                <w:szCs w:val="22"/>
              </w:rPr>
              <w:t>11</w:t>
            </w:r>
          </w:p>
        </w:tc>
      </w:tr>
      <w:tr w:rsidR="00DF7167" w14:paraId="59F7D5EF" w14:textId="77777777">
        <w:trPr>
          <w:cantSplit/>
          <w:trHeight w:val="259"/>
        </w:trPr>
        <w:tc>
          <w:tcPr>
            <w:tcW w:w="2266" w:type="dxa"/>
            <w:shd w:val="clear" w:color="auto" w:fill="FFFFFF"/>
            <w:tcMar>
              <w:top w:w="85" w:type="dxa"/>
              <w:bottom w:w="85" w:type="dxa"/>
            </w:tcMar>
          </w:tcPr>
          <w:p w14:paraId="3C9168A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Sample size</w:t>
            </w:r>
          </w:p>
        </w:tc>
        <w:tc>
          <w:tcPr>
            <w:tcW w:w="993" w:type="dxa"/>
            <w:shd w:val="clear" w:color="auto" w:fill="FFFFFF"/>
          </w:tcPr>
          <w:p w14:paraId="3168676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5250" w:type="dxa"/>
            <w:shd w:val="clear" w:color="auto" w:fill="FFFFFF"/>
          </w:tcPr>
          <w:p w14:paraId="0D53654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Estimated number of participants needed to achieve study objectives and how it was determined, including clinical and statistical assumptions supporting any sample size calculations</w:t>
            </w:r>
          </w:p>
        </w:tc>
        <w:tc>
          <w:tcPr>
            <w:tcW w:w="1420" w:type="dxa"/>
            <w:shd w:val="clear" w:color="auto" w:fill="FFFFFF"/>
          </w:tcPr>
          <w:p w14:paraId="536161F5" w14:textId="5D7C803D"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67880">
              <w:rPr>
                <w:rFonts w:ascii="Times New Roman" w:eastAsia="Times New Roman" w:hAnsi="Times New Roman" w:cs="Times New Roman"/>
                <w:sz w:val="22"/>
                <w:szCs w:val="22"/>
              </w:rPr>
              <w:t>7</w:t>
            </w:r>
          </w:p>
        </w:tc>
      </w:tr>
      <w:tr w:rsidR="00DF7167" w14:paraId="6EE45FDE" w14:textId="77777777">
        <w:trPr>
          <w:cantSplit/>
          <w:trHeight w:val="259"/>
        </w:trPr>
        <w:tc>
          <w:tcPr>
            <w:tcW w:w="2266" w:type="dxa"/>
            <w:shd w:val="clear" w:color="auto" w:fill="FFFFFF"/>
            <w:tcMar>
              <w:top w:w="85" w:type="dxa"/>
              <w:bottom w:w="85" w:type="dxa"/>
            </w:tcMar>
          </w:tcPr>
          <w:p w14:paraId="13D71B2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Recruitment</w:t>
            </w:r>
          </w:p>
        </w:tc>
        <w:tc>
          <w:tcPr>
            <w:tcW w:w="993" w:type="dxa"/>
            <w:shd w:val="clear" w:color="auto" w:fill="FFFFFF"/>
          </w:tcPr>
          <w:p w14:paraId="3E3A4FA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5250" w:type="dxa"/>
            <w:shd w:val="clear" w:color="auto" w:fill="FFFFFF"/>
          </w:tcPr>
          <w:p w14:paraId="5E0ED6B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Strategies for achieving adequate participant enrolment to reach target sample size</w:t>
            </w:r>
          </w:p>
        </w:tc>
        <w:tc>
          <w:tcPr>
            <w:tcW w:w="1420" w:type="dxa"/>
            <w:shd w:val="clear" w:color="auto" w:fill="FFFFFF"/>
          </w:tcPr>
          <w:p w14:paraId="7A501FE4" w14:textId="0C508C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6B463F">
              <w:rPr>
                <w:rFonts w:ascii="Times New Roman" w:eastAsia="Times New Roman" w:hAnsi="Times New Roman" w:cs="Times New Roman"/>
                <w:sz w:val="22"/>
                <w:szCs w:val="22"/>
              </w:rPr>
              <w:t>12</w:t>
            </w:r>
          </w:p>
        </w:tc>
      </w:tr>
      <w:tr w:rsidR="00DF7167" w14:paraId="263764C9" w14:textId="77777777">
        <w:trPr>
          <w:cantSplit/>
          <w:trHeight w:val="259"/>
        </w:trPr>
        <w:tc>
          <w:tcPr>
            <w:tcW w:w="3259" w:type="dxa"/>
            <w:gridSpan w:val="2"/>
            <w:shd w:val="clear" w:color="auto" w:fill="FFFFFF"/>
          </w:tcPr>
          <w:p w14:paraId="4A3EB32C" w14:textId="77777777" w:rsidR="00DF7167" w:rsidRDefault="002C63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Methods: Assignment of interventions (for controlled trials)</w:t>
            </w:r>
          </w:p>
        </w:tc>
        <w:tc>
          <w:tcPr>
            <w:tcW w:w="5250" w:type="dxa"/>
            <w:shd w:val="clear" w:color="auto" w:fill="FFFFFF"/>
          </w:tcPr>
          <w:p w14:paraId="626C6BA2" w14:textId="77777777" w:rsidR="00DF7167" w:rsidRDefault="00DF7167">
            <w:pPr>
              <w:rPr>
                <w:rFonts w:ascii="Times New Roman" w:eastAsia="Times New Roman" w:hAnsi="Times New Roman" w:cs="Times New Roman"/>
                <w:b/>
                <w:sz w:val="22"/>
                <w:szCs w:val="22"/>
              </w:rPr>
            </w:pPr>
          </w:p>
        </w:tc>
        <w:tc>
          <w:tcPr>
            <w:tcW w:w="1420" w:type="dxa"/>
            <w:shd w:val="clear" w:color="auto" w:fill="FFFFFF"/>
          </w:tcPr>
          <w:p w14:paraId="746A1F15" w14:textId="77777777" w:rsidR="00DF7167" w:rsidRDefault="00DF7167">
            <w:pPr>
              <w:rPr>
                <w:rFonts w:ascii="Times New Roman" w:eastAsia="Times New Roman" w:hAnsi="Times New Roman" w:cs="Times New Roman"/>
                <w:b/>
                <w:sz w:val="22"/>
                <w:szCs w:val="22"/>
              </w:rPr>
            </w:pPr>
          </w:p>
        </w:tc>
      </w:tr>
      <w:tr w:rsidR="00DF7167" w14:paraId="067928C5" w14:textId="77777777">
        <w:trPr>
          <w:cantSplit/>
          <w:trHeight w:val="259"/>
        </w:trPr>
        <w:tc>
          <w:tcPr>
            <w:tcW w:w="2266" w:type="dxa"/>
            <w:shd w:val="clear" w:color="auto" w:fill="FFFFFF"/>
            <w:tcMar>
              <w:top w:w="85" w:type="dxa"/>
              <w:bottom w:w="85" w:type="dxa"/>
            </w:tcMar>
          </w:tcPr>
          <w:p w14:paraId="36224C1C"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Allocation:</w:t>
            </w:r>
          </w:p>
        </w:tc>
        <w:tc>
          <w:tcPr>
            <w:tcW w:w="993" w:type="dxa"/>
            <w:shd w:val="clear" w:color="auto" w:fill="FFFFFF"/>
          </w:tcPr>
          <w:p w14:paraId="5CCEA6E3" w14:textId="77777777" w:rsidR="00DF7167" w:rsidRDefault="00DF7167">
            <w:pPr>
              <w:rPr>
                <w:rFonts w:ascii="Times New Roman" w:eastAsia="Times New Roman" w:hAnsi="Times New Roman" w:cs="Times New Roman"/>
                <w:sz w:val="22"/>
                <w:szCs w:val="22"/>
              </w:rPr>
            </w:pPr>
          </w:p>
        </w:tc>
        <w:tc>
          <w:tcPr>
            <w:tcW w:w="5250" w:type="dxa"/>
            <w:shd w:val="clear" w:color="auto" w:fill="FFFFFF"/>
          </w:tcPr>
          <w:p w14:paraId="7EE52EB3" w14:textId="77777777" w:rsidR="00DF7167" w:rsidRDefault="00DF7167">
            <w:pPr>
              <w:rPr>
                <w:rFonts w:ascii="Times New Roman" w:eastAsia="Times New Roman" w:hAnsi="Times New Roman" w:cs="Times New Roman"/>
                <w:sz w:val="22"/>
                <w:szCs w:val="22"/>
              </w:rPr>
            </w:pPr>
          </w:p>
        </w:tc>
        <w:tc>
          <w:tcPr>
            <w:tcW w:w="1420" w:type="dxa"/>
            <w:shd w:val="clear" w:color="auto" w:fill="FFFFFF"/>
          </w:tcPr>
          <w:p w14:paraId="393D79DF" w14:textId="77777777" w:rsidR="00DF7167" w:rsidRDefault="00DF7167">
            <w:pPr>
              <w:rPr>
                <w:rFonts w:ascii="Times New Roman" w:eastAsia="Times New Roman" w:hAnsi="Times New Roman" w:cs="Times New Roman"/>
                <w:sz w:val="22"/>
                <w:szCs w:val="22"/>
              </w:rPr>
            </w:pPr>
          </w:p>
        </w:tc>
      </w:tr>
      <w:tr w:rsidR="00DF7167" w14:paraId="01716F0D" w14:textId="77777777">
        <w:trPr>
          <w:cantSplit/>
          <w:trHeight w:val="259"/>
        </w:trPr>
        <w:tc>
          <w:tcPr>
            <w:tcW w:w="2266" w:type="dxa"/>
            <w:shd w:val="clear" w:color="auto" w:fill="FFFFFF"/>
            <w:tcMar>
              <w:top w:w="85" w:type="dxa"/>
              <w:bottom w:w="85" w:type="dxa"/>
            </w:tcMar>
          </w:tcPr>
          <w:p w14:paraId="711DCF5A" w14:textId="77777777" w:rsidR="00DF7167" w:rsidRDefault="002C6337">
            <w:pPr>
              <w:tabs>
                <w:tab w:val="left" w:pos="180"/>
              </w:tabs>
              <w:ind w:left="27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Sequence generation</w:t>
            </w:r>
          </w:p>
        </w:tc>
        <w:tc>
          <w:tcPr>
            <w:tcW w:w="993" w:type="dxa"/>
            <w:shd w:val="clear" w:color="auto" w:fill="FFFFFF"/>
          </w:tcPr>
          <w:p w14:paraId="1FA89BF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16a</w:t>
            </w:r>
          </w:p>
        </w:tc>
        <w:tc>
          <w:tcPr>
            <w:tcW w:w="5250" w:type="dxa"/>
            <w:shd w:val="clear" w:color="auto" w:fill="FFFFFF"/>
          </w:tcPr>
          <w:p w14:paraId="22743EB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Method of generating the allocation sequence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computer-generated random numbers), and list of any factors for stratification. To reduce predictability of a random sequence, details of any planned restriction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blocking) should be provided in a separate document that is unavailable to those who enrol participants or assign interventions</w:t>
            </w:r>
          </w:p>
        </w:tc>
        <w:tc>
          <w:tcPr>
            <w:tcW w:w="1420" w:type="dxa"/>
            <w:shd w:val="clear" w:color="auto" w:fill="FFFFFF"/>
          </w:tcPr>
          <w:p w14:paraId="60964F6A" w14:textId="09295EB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B463F">
              <w:rPr>
                <w:rFonts w:ascii="Times New Roman" w:eastAsia="Times New Roman" w:hAnsi="Times New Roman" w:cs="Times New Roman"/>
                <w:sz w:val="22"/>
                <w:szCs w:val="22"/>
              </w:rPr>
              <w:t>6</w:t>
            </w:r>
          </w:p>
        </w:tc>
      </w:tr>
      <w:tr w:rsidR="00DF7167" w14:paraId="6BAC77D3" w14:textId="77777777">
        <w:trPr>
          <w:cantSplit/>
          <w:trHeight w:val="259"/>
        </w:trPr>
        <w:tc>
          <w:tcPr>
            <w:tcW w:w="2266" w:type="dxa"/>
            <w:shd w:val="clear" w:color="auto" w:fill="FFFFFF"/>
            <w:tcMar>
              <w:top w:w="85" w:type="dxa"/>
              <w:bottom w:w="85" w:type="dxa"/>
            </w:tcMar>
          </w:tcPr>
          <w:p w14:paraId="77BDFB85" w14:textId="77777777" w:rsidR="00DF7167" w:rsidRDefault="002C6337">
            <w:pPr>
              <w:ind w:left="270"/>
              <w:rPr>
                <w:rFonts w:ascii="Times New Roman" w:eastAsia="Times New Roman" w:hAnsi="Times New Roman" w:cs="Times New Roman"/>
                <w:sz w:val="22"/>
                <w:szCs w:val="22"/>
              </w:rPr>
            </w:pPr>
            <w:r>
              <w:rPr>
                <w:rFonts w:ascii="Times New Roman" w:eastAsia="Times New Roman" w:hAnsi="Times New Roman" w:cs="Times New Roman"/>
                <w:sz w:val="22"/>
                <w:szCs w:val="22"/>
              </w:rPr>
              <w:t>Allocation concealment mechanism</w:t>
            </w:r>
          </w:p>
        </w:tc>
        <w:tc>
          <w:tcPr>
            <w:tcW w:w="993" w:type="dxa"/>
            <w:shd w:val="clear" w:color="auto" w:fill="FFFFFF"/>
          </w:tcPr>
          <w:p w14:paraId="4E67073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16b</w:t>
            </w:r>
          </w:p>
        </w:tc>
        <w:tc>
          <w:tcPr>
            <w:tcW w:w="5250" w:type="dxa"/>
            <w:shd w:val="clear" w:color="auto" w:fill="FFFFFF"/>
          </w:tcPr>
          <w:p w14:paraId="618BBB2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Mechanism of implementing the allocation sequence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central telephone; sequentially numbered, opaque, sealed envelopes), describing any steps to conceal the sequence until interventions are assigned</w:t>
            </w:r>
          </w:p>
        </w:tc>
        <w:tc>
          <w:tcPr>
            <w:tcW w:w="1420" w:type="dxa"/>
            <w:shd w:val="clear" w:color="auto" w:fill="FFFFFF"/>
          </w:tcPr>
          <w:p w14:paraId="489733D6" w14:textId="13234FC6"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B463F">
              <w:rPr>
                <w:rFonts w:ascii="Times New Roman" w:eastAsia="Times New Roman" w:hAnsi="Times New Roman" w:cs="Times New Roman"/>
                <w:sz w:val="22"/>
                <w:szCs w:val="22"/>
              </w:rPr>
              <w:t>6</w:t>
            </w:r>
          </w:p>
        </w:tc>
      </w:tr>
      <w:tr w:rsidR="00DF7167" w14:paraId="3263C079" w14:textId="77777777">
        <w:trPr>
          <w:cantSplit/>
          <w:trHeight w:val="259"/>
        </w:trPr>
        <w:tc>
          <w:tcPr>
            <w:tcW w:w="2266" w:type="dxa"/>
            <w:shd w:val="clear" w:color="auto" w:fill="FFFFFF"/>
            <w:tcMar>
              <w:top w:w="85" w:type="dxa"/>
              <w:bottom w:w="85" w:type="dxa"/>
            </w:tcMar>
          </w:tcPr>
          <w:p w14:paraId="527DC6BF" w14:textId="77777777" w:rsidR="00DF7167" w:rsidRDefault="002C6337">
            <w:pPr>
              <w:ind w:left="270"/>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Implementation</w:t>
            </w:r>
          </w:p>
        </w:tc>
        <w:tc>
          <w:tcPr>
            <w:tcW w:w="993" w:type="dxa"/>
            <w:shd w:val="clear" w:color="auto" w:fill="FFFFFF"/>
          </w:tcPr>
          <w:p w14:paraId="3E3E793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16c</w:t>
            </w:r>
          </w:p>
        </w:tc>
        <w:tc>
          <w:tcPr>
            <w:tcW w:w="5250" w:type="dxa"/>
            <w:shd w:val="clear" w:color="auto" w:fill="FFFFFF"/>
          </w:tcPr>
          <w:p w14:paraId="7DBCCEB3"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Who will generate the allocation sequence, who will enrol participants, and who will assign participants to interventions</w:t>
            </w:r>
          </w:p>
        </w:tc>
        <w:tc>
          <w:tcPr>
            <w:tcW w:w="1420" w:type="dxa"/>
            <w:shd w:val="clear" w:color="auto" w:fill="FFFFFF"/>
          </w:tcPr>
          <w:p w14:paraId="4F52B12C" w14:textId="4CB828BC"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B463F">
              <w:rPr>
                <w:rFonts w:ascii="Times New Roman" w:eastAsia="Times New Roman" w:hAnsi="Times New Roman" w:cs="Times New Roman"/>
                <w:sz w:val="22"/>
                <w:szCs w:val="22"/>
              </w:rPr>
              <w:t>6</w:t>
            </w:r>
          </w:p>
        </w:tc>
      </w:tr>
      <w:tr w:rsidR="00DF7167" w14:paraId="430A694A" w14:textId="77777777">
        <w:trPr>
          <w:cantSplit/>
          <w:trHeight w:val="259"/>
        </w:trPr>
        <w:tc>
          <w:tcPr>
            <w:tcW w:w="2266" w:type="dxa"/>
            <w:shd w:val="clear" w:color="auto" w:fill="FFFFFF"/>
            <w:tcMar>
              <w:top w:w="85" w:type="dxa"/>
              <w:bottom w:w="85" w:type="dxa"/>
            </w:tcMar>
          </w:tcPr>
          <w:p w14:paraId="37DBB37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Blinding (masking)</w:t>
            </w:r>
          </w:p>
        </w:tc>
        <w:tc>
          <w:tcPr>
            <w:tcW w:w="993" w:type="dxa"/>
            <w:shd w:val="clear" w:color="auto" w:fill="FFFFFF"/>
          </w:tcPr>
          <w:p w14:paraId="0281412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17a</w:t>
            </w:r>
          </w:p>
        </w:tc>
        <w:tc>
          <w:tcPr>
            <w:tcW w:w="5250" w:type="dxa"/>
            <w:shd w:val="clear" w:color="auto" w:fill="FFFFFF"/>
          </w:tcPr>
          <w:p w14:paraId="33ACB22F"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Who will be blinded after assignment to interventions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trial participants, care providers, outcome assessors, data analysts), and how</w:t>
            </w:r>
          </w:p>
        </w:tc>
        <w:tc>
          <w:tcPr>
            <w:tcW w:w="1420" w:type="dxa"/>
            <w:shd w:val="clear" w:color="auto" w:fill="FFFFFF"/>
          </w:tcPr>
          <w:p w14:paraId="033C8015" w14:textId="4FFF8AEA"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B463F">
              <w:rPr>
                <w:rFonts w:ascii="Times New Roman" w:eastAsia="Times New Roman" w:hAnsi="Times New Roman" w:cs="Times New Roman"/>
                <w:sz w:val="22"/>
                <w:szCs w:val="22"/>
              </w:rPr>
              <w:t>7</w:t>
            </w:r>
          </w:p>
        </w:tc>
      </w:tr>
      <w:tr w:rsidR="00DF7167" w14:paraId="7F402526" w14:textId="77777777">
        <w:trPr>
          <w:cantSplit/>
          <w:trHeight w:val="259"/>
        </w:trPr>
        <w:tc>
          <w:tcPr>
            <w:tcW w:w="2266" w:type="dxa"/>
            <w:shd w:val="clear" w:color="auto" w:fill="FFFFFF"/>
            <w:tcMar>
              <w:top w:w="85" w:type="dxa"/>
              <w:bottom w:w="85" w:type="dxa"/>
            </w:tcMar>
          </w:tcPr>
          <w:p w14:paraId="0176168D" w14:textId="77777777" w:rsidR="00DF7167" w:rsidRDefault="00DF7167">
            <w:pPr>
              <w:rPr>
                <w:rFonts w:ascii="Times New Roman" w:eastAsia="Times New Roman" w:hAnsi="Times New Roman" w:cs="Times New Roman"/>
                <w:sz w:val="22"/>
                <w:szCs w:val="22"/>
              </w:rPr>
            </w:pPr>
          </w:p>
        </w:tc>
        <w:tc>
          <w:tcPr>
            <w:tcW w:w="993" w:type="dxa"/>
            <w:shd w:val="clear" w:color="auto" w:fill="FFFFFF"/>
          </w:tcPr>
          <w:p w14:paraId="2A4BE17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17b</w:t>
            </w:r>
          </w:p>
        </w:tc>
        <w:tc>
          <w:tcPr>
            <w:tcW w:w="5250" w:type="dxa"/>
            <w:shd w:val="clear" w:color="auto" w:fill="FFFFFF"/>
          </w:tcPr>
          <w:p w14:paraId="3C15353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If blinded, circumstances under which unblinding is permissible, and procedure for revealing a participant’s allocated intervention during the trial</w:t>
            </w:r>
          </w:p>
        </w:tc>
        <w:tc>
          <w:tcPr>
            <w:tcW w:w="1420" w:type="dxa"/>
            <w:shd w:val="clear" w:color="auto" w:fill="FFFFFF"/>
          </w:tcPr>
          <w:p w14:paraId="14A7AA62" w14:textId="19810BF3"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6B463F">
              <w:rPr>
                <w:rFonts w:ascii="Times New Roman" w:eastAsia="Times New Roman" w:hAnsi="Times New Roman" w:cs="Times New Roman"/>
                <w:sz w:val="22"/>
                <w:szCs w:val="22"/>
              </w:rPr>
              <w:t>7</w:t>
            </w:r>
          </w:p>
        </w:tc>
      </w:tr>
      <w:tr w:rsidR="00DF7167" w14:paraId="5404E149" w14:textId="77777777">
        <w:trPr>
          <w:cantSplit/>
          <w:trHeight w:val="259"/>
        </w:trPr>
        <w:tc>
          <w:tcPr>
            <w:tcW w:w="3259" w:type="dxa"/>
            <w:gridSpan w:val="2"/>
            <w:shd w:val="clear" w:color="auto" w:fill="FFFFFF"/>
          </w:tcPr>
          <w:p w14:paraId="5ADE21CF" w14:textId="77777777" w:rsidR="00DF7167" w:rsidRDefault="002C63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Methods: Data collection, management, and analysis</w:t>
            </w:r>
          </w:p>
        </w:tc>
        <w:tc>
          <w:tcPr>
            <w:tcW w:w="5250" w:type="dxa"/>
            <w:shd w:val="clear" w:color="auto" w:fill="FFFFFF"/>
          </w:tcPr>
          <w:p w14:paraId="16C3D78C" w14:textId="77777777" w:rsidR="00DF7167" w:rsidRDefault="00DF7167">
            <w:pPr>
              <w:rPr>
                <w:rFonts w:ascii="Times New Roman" w:eastAsia="Times New Roman" w:hAnsi="Times New Roman" w:cs="Times New Roman"/>
                <w:b/>
                <w:sz w:val="22"/>
                <w:szCs w:val="22"/>
              </w:rPr>
            </w:pPr>
          </w:p>
        </w:tc>
        <w:tc>
          <w:tcPr>
            <w:tcW w:w="1420" w:type="dxa"/>
            <w:shd w:val="clear" w:color="auto" w:fill="FFFFFF"/>
          </w:tcPr>
          <w:p w14:paraId="7230C510" w14:textId="77777777" w:rsidR="00DF7167" w:rsidRDefault="00DF7167">
            <w:pPr>
              <w:rPr>
                <w:rFonts w:ascii="Times New Roman" w:eastAsia="Times New Roman" w:hAnsi="Times New Roman" w:cs="Times New Roman"/>
                <w:b/>
                <w:sz w:val="22"/>
                <w:szCs w:val="22"/>
              </w:rPr>
            </w:pPr>
          </w:p>
        </w:tc>
      </w:tr>
      <w:tr w:rsidR="00DF7167" w14:paraId="36DF8015" w14:textId="77777777">
        <w:trPr>
          <w:cantSplit/>
          <w:trHeight w:val="259"/>
        </w:trPr>
        <w:tc>
          <w:tcPr>
            <w:tcW w:w="2266" w:type="dxa"/>
            <w:shd w:val="clear" w:color="auto" w:fill="FFFFFF"/>
            <w:tcMar>
              <w:top w:w="85" w:type="dxa"/>
              <w:bottom w:w="85" w:type="dxa"/>
            </w:tcMar>
          </w:tcPr>
          <w:p w14:paraId="5A438BB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collection methods</w:t>
            </w:r>
          </w:p>
        </w:tc>
        <w:tc>
          <w:tcPr>
            <w:tcW w:w="993" w:type="dxa"/>
            <w:shd w:val="clear" w:color="auto" w:fill="FFFFFF"/>
          </w:tcPr>
          <w:p w14:paraId="6C535E9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18a</w:t>
            </w:r>
          </w:p>
        </w:tc>
        <w:tc>
          <w:tcPr>
            <w:tcW w:w="5250" w:type="dxa"/>
            <w:shd w:val="clear" w:color="auto" w:fill="FFFFFF"/>
          </w:tcPr>
          <w:p w14:paraId="5560BDC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assessment and collection of outcome, baseline, and other trial data, including any related processes to promote data quality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duplicate measurements, training of assessors) and a description of study instruments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questionnaires, laboratory tests) along with their reliability and validity, if known. Reference to where data collection forms can be found, if not in the protocol</w:t>
            </w:r>
          </w:p>
        </w:tc>
        <w:tc>
          <w:tcPr>
            <w:tcW w:w="1420" w:type="dxa"/>
            <w:shd w:val="clear" w:color="auto" w:fill="FFFFFF"/>
          </w:tcPr>
          <w:p w14:paraId="7B5CEC3B" w14:textId="06B4340F"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2A67">
              <w:rPr>
                <w:rFonts w:ascii="Times New Roman" w:eastAsia="Times New Roman" w:hAnsi="Times New Roman" w:cs="Times New Roman"/>
                <w:sz w:val="22"/>
                <w:szCs w:val="22"/>
              </w:rPr>
              <w:t>18</w:t>
            </w:r>
          </w:p>
        </w:tc>
      </w:tr>
      <w:tr w:rsidR="00DF7167" w14:paraId="538CCF10" w14:textId="77777777">
        <w:trPr>
          <w:cantSplit/>
          <w:trHeight w:val="259"/>
        </w:trPr>
        <w:tc>
          <w:tcPr>
            <w:tcW w:w="2266" w:type="dxa"/>
            <w:shd w:val="clear" w:color="auto" w:fill="FFFFFF"/>
            <w:tcMar>
              <w:top w:w="85" w:type="dxa"/>
              <w:bottom w:w="85" w:type="dxa"/>
            </w:tcMar>
          </w:tcPr>
          <w:p w14:paraId="374167CB" w14:textId="77777777" w:rsidR="00DF7167" w:rsidRDefault="00DF7167">
            <w:pPr>
              <w:rPr>
                <w:rFonts w:ascii="Times New Roman" w:eastAsia="Times New Roman" w:hAnsi="Times New Roman" w:cs="Times New Roman"/>
                <w:sz w:val="22"/>
                <w:szCs w:val="22"/>
              </w:rPr>
            </w:pPr>
          </w:p>
        </w:tc>
        <w:tc>
          <w:tcPr>
            <w:tcW w:w="993" w:type="dxa"/>
            <w:shd w:val="clear" w:color="auto" w:fill="FFFFFF"/>
          </w:tcPr>
          <w:p w14:paraId="6337992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18b</w:t>
            </w:r>
          </w:p>
        </w:tc>
        <w:tc>
          <w:tcPr>
            <w:tcW w:w="5250" w:type="dxa"/>
            <w:shd w:val="clear" w:color="auto" w:fill="FFFFFF"/>
          </w:tcPr>
          <w:p w14:paraId="66FA84A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to promote participant retention and complete follow-up, including list of any outcome data to be collected for participants who discontinue or deviate from intervention protocols</w:t>
            </w:r>
          </w:p>
        </w:tc>
        <w:tc>
          <w:tcPr>
            <w:tcW w:w="1420" w:type="dxa"/>
            <w:shd w:val="clear" w:color="auto" w:fill="FFFFFF"/>
          </w:tcPr>
          <w:p w14:paraId="70CFDDB6" w14:textId="3EEC7E2F" w:rsidR="009F6441" w:rsidRDefault="009F6441">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942A67">
              <w:rPr>
                <w:rFonts w:ascii="Times New Roman" w:eastAsia="Times New Roman" w:hAnsi="Times New Roman" w:cs="Times New Roman"/>
                <w:sz w:val="22"/>
                <w:szCs w:val="22"/>
              </w:rPr>
              <w:t>9</w:t>
            </w:r>
          </w:p>
          <w:p w14:paraId="3B0A9AD7" w14:textId="4A3DE191"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BB0573">
              <w:rPr>
                <w:rFonts w:ascii="Times New Roman" w:eastAsia="Times New Roman" w:hAnsi="Times New Roman" w:cs="Times New Roman"/>
                <w:sz w:val="22"/>
                <w:szCs w:val="22"/>
              </w:rPr>
              <w:t>ot applicable</w:t>
            </w:r>
          </w:p>
          <w:p w14:paraId="33BF78DF" w14:textId="0E80EFD8" w:rsidR="00BB0573" w:rsidRDefault="002403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is a voluntary online survey. Participants have the right to stop the survey at any point. We do not have plans to promote retention or completion other than the gift card draw. Any incomplete response submitted will be excluded from the analysis. </w:t>
            </w:r>
          </w:p>
        </w:tc>
      </w:tr>
      <w:tr w:rsidR="00DF7167" w14:paraId="15A06C0B" w14:textId="77777777">
        <w:trPr>
          <w:cantSplit/>
          <w:trHeight w:val="259"/>
        </w:trPr>
        <w:tc>
          <w:tcPr>
            <w:tcW w:w="2266" w:type="dxa"/>
            <w:shd w:val="clear" w:color="auto" w:fill="FFFFFF"/>
            <w:tcMar>
              <w:top w:w="85" w:type="dxa"/>
              <w:bottom w:w="85" w:type="dxa"/>
            </w:tcMar>
          </w:tcPr>
          <w:p w14:paraId="5BF080A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management</w:t>
            </w:r>
          </w:p>
        </w:tc>
        <w:tc>
          <w:tcPr>
            <w:tcW w:w="993" w:type="dxa"/>
            <w:shd w:val="clear" w:color="auto" w:fill="FFFFFF"/>
          </w:tcPr>
          <w:p w14:paraId="3484CA2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5250" w:type="dxa"/>
            <w:shd w:val="clear" w:color="auto" w:fill="FFFFFF"/>
          </w:tcPr>
          <w:p w14:paraId="654C368C"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data entry, coding, security, and storage, including any related processes to promote data quality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double data entry; range checks for data values). Reference to where details of data management procedures can be found, if not in the protocol</w:t>
            </w:r>
          </w:p>
        </w:tc>
        <w:tc>
          <w:tcPr>
            <w:tcW w:w="1420" w:type="dxa"/>
            <w:shd w:val="clear" w:color="auto" w:fill="FFFFFF"/>
          </w:tcPr>
          <w:p w14:paraId="37D586C8" w14:textId="43034168"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2A67">
              <w:rPr>
                <w:rFonts w:ascii="Times New Roman" w:eastAsia="Times New Roman" w:hAnsi="Times New Roman" w:cs="Times New Roman"/>
                <w:sz w:val="22"/>
                <w:szCs w:val="22"/>
              </w:rPr>
              <w:t>21</w:t>
            </w:r>
          </w:p>
        </w:tc>
      </w:tr>
      <w:tr w:rsidR="00DF7167" w14:paraId="2194D546" w14:textId="77777777">
        <w:trPr>
          <w:cantSplit/>
          <w:trHeight w:val="259"/>
        </w:trPr>
        <w:tc>
          <w:tcPr>
            <w:tcW w:w="2266" w:type="dxa"/>
            <w:shd w:val="clear" w:color="auto" w:fill="FFFFFF"/>
            <w:tcMar>
              <w:top w:w="85" w:type="dxa"/>
              <w:bottom w:w="85" w:type="dxa"/>
            </w:tcMar>
          </w:tcPr>
          <w:p w14:paraId="465D9D1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Statistical methods</w:t>
            </w:r>
          </w:p>
        </w:tc>
        <w:tc>
          <w:tcPr>
            <w:tcW w:w="993" w:type="dxa"/>
            <w:shd w:val="clear" w:color="auto" w:fill="FFFFFF"/>
          </w:tcPr>
          <w:p w14:paraId="1061477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20a</w:t>
            </w:r>
          </w:p>
        </w:tc>
        <w:tc>
          <w:tcPr>
            <w:tcW w:w="5250" w:type="dxa"/>
            <w:shd w:val="clear" w:color="auto" w:fill="FFFFFF"/>
          </w:tcPr>
          <w:p w14:paraId="7EFE6EB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Statistical methods for analysing primary and secondary outcomes. Reference to where other details of the statistical analysis plan can be found, if not in the protocol</w:t>
            </w:r>
          </w:p>
        </w:tc>
        <w:tc>
          <w:tcPr>
            <w:tcW w:w="1420" w:type="dxa"/>
            <w:shd w:val="clear" w:color="auto" w:fill="FFFFFF"/>
          </w:tcPr>
          <w:p w14:paraId="01EAA3A6" w14:textId="6EF1026D"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942A67">
              <w:rPr>
                <w:rFonts w:ascii="Times New Roman" w:eastAsia="Times New Roman" w:hAnsi="Times New Roman" w:cs="Times New Roman"/>
                <w:sz w:val="22"/>
                <w:szCs w:val="22"/>
              </w:rPr>
              <w:t>9</w:t>
            </w:r>
          </w:p>
        </w:tc>
      </w:tr>
      <w:tr w:rsidR="00DF7167" w14:paraId="6167554F" w14:textId="77777777">
        <w:trPr>
          <w:cantSplit/>
          <w:trHeight w:val="259"/>
        </w:trPr>
        <w:tc>
          <w:tcPr>
            <w:tcW w:w="2266" w:type="dxa"/>
            <w:shd w:val="clear" w:color="auto" w:fill="FFFFFF"/>
            <w:tcMar>
              <w:top w:w="85" w:type="dxa"/>
              <w:bottom w:w="85" w:type="dxa"/>
            </w:tcMar>
          </w:tcPr>
          <w:p w14:paraId="65C69A39" w14:textId="77777777" w:rsidR="00DF7167" w:rsidRDefault="00DF7167">
            <w:pPr>
              <w:rPr>
                <w:rFonts w:ascii="Times New Roman" w:eastAsia="Times New Roman" w:hAnsi="Times New Roman" w:cs="Times New Roman"/>
                <w:sz w:val="22"/>
                <w:szCs w:val="22"/>
              </w:rPr>
            </w:pPr>
          </w:p>
        </w:tc>
        <w:tc>
          <w:tcPr>
            <w:tcW w:w="993" w:type="dxa"/>
            <w:shd w:val="clear" w:color="auto" w:fill="FFFFFF"/>
          </w:tcPr>
          <w:p w14:paraId="0F176B9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20b</w:t>
            </w:r>
          </w:p>
        </w:tc>
        <w:tc>
          <w:tcPr>
            <w:tcW w:w="5250" w:type="dxa"/>
            <w:shd w:val="clear" w:color="auto" w:fill="FFFFFF"/>
          </w:tcPr>
          <w:p w14:paraId="1087C63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Methods for any additional analyses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subgroup and adjusted analyses)</w:t>
            </w:r>
          </w:p>
        </w:tc>
        <w:tc>
          <w:tcPr>
            <w:tcW w:w="1420" w:type="dxa"/>
            <w:shd w:val="clear" w:color="auto" w:fill="FFFFFF"/>
          </w:tcPr>
          <w:p w14:paraId="43CB1812" w14:textId="2EF71306"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942A67">
              <w:rPr>
                <w:rFonts w:ascii="Times New Roman" w:eastAsia="Times New Roman" w:hAnsi="Times New Roman" w:cs="Times New Roman"/>
                <w:sz w:val="22"/>
                <w:szCs w:val="22"/>
              </w:rPr>
              <w:t>9</w:t>
            </w:r>
          </w:p>
        </w:tc>
      </w:tr>
      <w:tr w:rsidR="00DF7167" w14:paraId="65628FA9" w14:textId="77777777">
        <w:trPr>
          <w:cantSplit/>
          <w:trHeight w:val="259"/>
        </w:trPr>
        <w:tc>
          <w:tcPr>
            <w:tcW w:w="2266" w:type="dxa"/>
            <w:shd w:val="clear" w:color="auto" w:fill="FFFFFF"/>
            <w:tcMar>
              <w:top w:w="85" w:type="dxa"/>
              <w:bottom w:w="85" w:type="dxa"/>
            </w:tcMar>
          </w:tcPr>
          <w:p w14:paraId="5440B1AE" w14:textId="77777777" w:rsidR="00DF7167" w:rsidRDefault="00DF7167">
            <w:pPr>
              <w:rPr>
                <w:rFonts w:ascii="Times New Roman" w:eastAsia="Times New Roman" w:hAnsi="Times New Roman" w:cs="Times New Roman"/>
                <w:sz w:val="22"/>
                <w:szCs w:val="22"/>
              </w:rPr>
            </w:pPr>
          </w:p>
        </w:tc>
        <w:tc>
          <w:tcPr>
            <w:tcW w:w="993" w:type="dxa"/>
            <w:shd w:val="clear" w:color="auto" w:fill="FFFFFF"/>
          </w:tcPr>
          <w:p w14:paraId="50ED5553"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20c</w:t>
            </w:r>
          </w:p>
        </w:tc>
        <w:tc>
          <w:tcPr>
            <w:tcW w:w="5250" w:type="dxa"/>
            <w:shd w:val="clear" w:color="auto" w:fill="FFFFFF"/>
          </w:tcPr>
          <w:p w14:paraId="3BEF275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Definition of analysis population relating to protocol non-adherence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as randomised analysis), and any statistical methods to handle missing data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multiple imputation)</w:t>
            </w:r>
          </w:p>
        </w:tc>
        <w:tc>
          <w:tcPr>
            <w:tcW w:w="1420" w:type="dxa"/>
            <w:shd w:val="clear" w:color="auto" w:fill="FFFFFF"/>
          </w:tcPr>
          <w:p w14:paraId="60C44A48" w14:textId="57A197BB"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942A67">
              <w:rPr>
                <w:rFonts w:ascii="Times New Roman" w:eastAsia="Times New Roman" w:hAnsi="Times New Roman" w:cs="Times New Roman"/>
                <w:sz w:val="22"/>
                <w:szCs w:val="22"/>
              </w:rPr>
              <w:t>9</w:t>
            </w:r>
          </w:p>
        </w:tc>
      </w:tr>
      <w:tr w:rsidR="00DF7167" w14:paraId="0819D37C" w14:textId="77777777">
        <w:trPr>
          <w:cantSplit/>
          <w:trHeight w:val="259"/>
        </w:trPr>
        <w:tc>
          <w:tcPr>
            <w:tcW w:w="3259" w:type="dxa"/>
            <w:gridSpan w:val="2"/>
            <w:shd w:val="clear" w:color="auto" w:fill="FFFFFF"/>
          </w:tcPr>
          <w:p w14:paraId="112E28A1" w14:textId="77777777" w:rsidR="00DF7167" w:rsidRDefault="002C63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Methods: Monitoring</w:t>
            </w:r>
          </w:p>
        </w:tc>
        <w:tc>
          <w:tcPr>
            <w:tcW w:w="5250" w:type="dxa"/>
            <w:shd w:val="clear" w:color="auto" w:fill="FFFFFF"/>
          </w:tcPr>
          <w:p w14:paraId="32D960FC" w14:textId="77777777" w:rsidR="00DF7167" w:rsidRDefault="00DF7167">
            <w:pPr>
              <w:rPr>
                <w:rFonts w:ascii="Times New Roman" w:eastAsia="Times New Roman" w:hAnsi="Times New Roman" w:cs="Times New Roman"/>
                <w:b/>
                <w:sz w:val="22"/>
                <w:szCs w:val="22"/>
              </w:rPr>
            </w:pPr>
          </w:p>
        </w:tc>
        <w:tc>
          <w:tcPr>
            <w:tcW w:w="1420" w:type="dxa"/>
            <w:shd w:val="clear" w:color="auto" w:fill="FFFFFF"/>
          </w:tcPr>
          <w:p w14:paraId="586A7BBC" w14:textId="77777777" w:rsidR="00DF7167" w:rsidRDefault="00DF7167">
            <w:pPr>
              <w:rPr>
                <w:rFonts w:ascii="Times New Roman" w:eastAsia="Times New Roman" w:hAnsi="Times New Roman" w:cs="Times New Roman"/>
                <w:b/>
                <w:sz w:val="22"/>
                <w:szCs w:val="22"/>
              </w:rPr>
            </w:pPr>
          </w:p>
        </w:tc>
      </w:tr>
      <w:tr w:rsidR="00DF7167" w14:paraId="48C31363" w14:textId="77777777">
        <w:trPr>
          <w:cantSplit/>
          <w:trHeight w:val="259"/>
        </w:trPr>
        <w:tc>
          <w:tcPr>
            <w:tcW w:w="2266" w:type="dxa"/>
            <w:shd w:val="clear" w:color="auto" w:fill="FFFFFF"/>
            <w:tcMar>
              <w:top w:w="85" w:type="dxa"/>
              <w:bottom w:w="85" w:type="dxa"/>
            </w:tcMar>
          </w:tcPr>
          <w:p w14:paraId="61D2FD0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monitoring</w:t>
            </w:r>
          </w:p>
        </w:tc>
        <w:tc>
          <w:tcPr>
            <w:tcW w:w="993" w:type="dxa"/>
            <w:shd w:val="clear" w:color="auto" w:fill="FFFFFF"/>
          </w:tcPr>
          <w:p w14:paraId="7641221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21a</w:t>
            </w:r>
          </w:p>
        </w:tc>
        <w:tc>
          <w:tcPr>
            <w:tcW w:w="5250" w:type="dxa"/>
            <w:shd w:val="clear" w:color="auto" w:fill="FFFFFF"/>
          </w:tcPr>
          <w:p w14:paraId="3BC4FF6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420" w:type="dxa"/>
            <w:shd w:val="clear" w:color="auto" w:fill="FFFFFF"/>
          </w:tcPr>
          <w:p w14:paraId="7D2A51BB" w14:textId="39FC820C" w:rsidR="0056264D" w:rsidRDefault="0056264D">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2</w:t>
            </w:r>
            <w:r w:rsidR="00942A67">
              <w:rPr>
                <w:rFonts w:ascii="Times New Roman" w:eastAsia="Times New Roman" w:hAnsi="Times New Roman" w:cs="Times New Roman"/>
                <w:sz w:val="22"/>
                <w:szCs w:val="22"/>
              </w:rPr>
              <w:t>7</w:t>
            </w:r>
          </w:p>
          <w:p w14:paraId="0F86FDCB" w14:textId="6D46D6DE"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F8214F">
              <w:rPr>
                <w:rFonts w:ascii="Times New Roman" w:eastAsia="Times New Roman" w:hAnsi="Times New Roman" w:cs="Times New Roman"/>
                <w:sz w:val="22"/>
                <w:szCs w:val="22"/>
              </w:rPr>
              <w:t xml:space="preserve">ot applicable. This is a low-risk intervention; </w:t>
            </w:r>
            <w:r w:rsidR="005D799C">
              <w:rPr>
                <w:rFonts w:ascii="Times New Roman" w:eastAsia="Times New Roman" w:hAnsi="Times New Roman" w:cs="Times New Roman"/>
                <w:sz w:val="22"/>
                <w:szCs w:val="22"/>
              </w:rPr>
              <w:t>thus,</w:t>
            </w:r>
            <w:r w:rsidR="00F8214F">
              <w:rPr>
                <w:rFonts w:ascii="Times New Roman" w:eastAsia="Times New Roman" w:hAnsi="Times New Roman" w:cs="Times New Roman"/>
                <w:sz w:val="22"/>
                <w:szCs w:val="22"/>
              </w:rPr>
              <w:t xml:space="preserve"> ethics did not require a DMC.</w:t>
            </w:r>
          </w:p>
        </w:tc>
      </w:tr>
      <w:tr w:rsidR="00DF7167" w14:paraId="03C432C5" w14:textId="77777777">
        <w:trPr>
          <w:cantSplit/>
          <w:trHeight w:val="492"/>
        </w:trPr>
        <w:tc>
          <w:tcPr>
            <w:tcW w:w="2266" w:type="dxa"/>
            <w:shd w:val="clear" w:color="auto" w:fill="FFFFFF"/>
            <w:tcMar>
              <w:top w:w="85" w:type="dxa"/>
              <w:bottom w:w="85" w:type="dxa"/>
            </w:tcMar>
          </w:tcPr>
          <w:p w14:paraId="7ECB911B" w14:textId="77777777" w:rsidR="00DF7167" w:rsidRDefault="00DF7167">
            <w:pPr>
              <w:rPr>
                <w:rFonts w:ascii="Times New Roman" w:eastAsia="Times New Roman" w:hAnsi="Times New Roman" w:cs="Times New Roman"/>
                <w:sz w:val="22"/>
                <w:szCs w:val="22"/>
              </w:rPr>
            </w:pPr>
          </w:p>
        </w:tc>
        <w:tc>
          <w:tcPr>
            <w:tcW w:w="993" w:type="dxa"/>
            <w:shd w:val="clear" w:color="auto" w:fill="FFFFFF"/>
          </w:tcPr>
          <w:p w14:paraId="628AB85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21b</w:t>
            </w:r>
          </w:p>
        </w:tc>
        <w:tc>
          <w:tcPr>
            <w:tcW w:w="5250" w:type="dxa"/>
            <w:shd w:val="clear" w:color="auto" w:fill="FFFFFF"/>
          </w:tcPr>
          <w:p w14:paraId="7ECE9B1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of any interim analyses and stopping guidelines, including who will have access to these interim results and make the final decision to terminate the trial</w:t>
            </w:r>
          </w:p>
        </w:tc>
        <w:tc>
          <w:tcPr>
            <w:tcW w:w="1420" w:type="dxa"/>
            <w:shd w:val="clear" w:color="auto" w:fill="FFFFFF"/>
          </w:tcPr>
          <w:p w14:paraId="57200DF4" w14:textId="51ADFF1B"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1</w:t>
            </w:r>
            <w:r w:rsidR="00942A67">
              <w:rPr>
                <w:rFonts w:ascii="Times New Roman" w:eastAsia="Times New Roman" w:hAnsi="Times New Roman" w:cs="Times New Roman"/>
                <w:sz w:val="22"/>
                <w:szCs w:val="22"/>
              </w:rPr>
              <w:t>8</w:t>
            </w:r>
          </w:p>
        </w:tc>
      </w:tr>
      <w:tr w:rsidR="00DF7167" w14:paraId="6E1672CA" w14:textId="77777777">
        <w:trPr>
          <w:cantSplit/>
          <w:trHeight w:val="259"/>
        </w:trPr>
        <w:tc>
          <w:tcPr>
            <w:tcW w:w="2266" w:type="dxa"/>
            <w:shd w:val="clear" w:color="auto" w:fill="FFFFFF"/>
            <w:tcMar>
              <w:top w:w="85" w:type="dxa"/>
              <w:bottom w:w="85" w:type="dxa"/>
            </w:tcMar>
          </w:tcPr>
          <w:p w14:paraId="18DC5CFA"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Harms</w:t>
            </w:r>
          </w:p>
        </w:tc>
        <w:tc>
          <w:tcPr>
            <w:tcW w:w="993" w:type="dxa"/>
            <w:shd w:val="clear" w:color="auto" w:fill="FFFFFF"/>
          </w:tcPr>
          <w:p w14:paraId="58E7992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5250" w:type="dxa"/>
            <w:shd w:val="clear" w:color="auto" w:fill="FFFFFF"/>
          </w:tcPr>
          <w:p w14:paraId="47EAEE5E"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collecting, assessing, reporting, and managing solicited and spontaneously reported adverse events and other unintended effects of trial interventions or trial conduct</w:t>
            </w:r>
          </w:p>
        </w:tc>
        <w:tc>
          <w:tcPr>
            <w:tcW w:w="1420" w:type="dxa"/>
            <w:shd w:val="clear" w:color="auto" w:fill="FFFFFF"/>
          </w:tcPr>
          <w:p w14:paraId="1AC76265" w14:textId="1B207D69"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942A67">
              <w:rPr>
                <w:rFonts w:ascii="Times New Roman" w:eastAsia="Times New Roman" w:hAnsi="Times New Roman" w:cs="Times New Roman"/>
                <w:sz w:val="22"/>
                <w:szCs w:val="22"/>
              </w:rPr>
              <w:t>12</w:t>
            </w:r>
          </w:p>
        </w:tc>
      </w:tr>
      <w:tr w:rsidR="00DF7167" w14:paraId="424C2094" w14:textId="77777777">
        <w:trPr>
          <w:cantSplit/>
          <w:trHeight w:val="259"/>
        </w:trPr>
        <w:tc>
          <w:tcPr>
            <w:tcW w:w="2266" w:type="dxa"/>
            <w:shd w:val="clear" w:color="auto" w:fill="FFFFFF"/>
            <w:tcMar>
              <w:top w:w="85" w:type="dxa"/>
              <w:bottom w:w="85" w:type="dxa"/>
            </w:tcMar>
          </w:tcPr>
          <w:p w14:paraId="6E3E8EC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Auditing</w:t>
            </w:r>
          </w:p>
        </w:tc>
        <w:tc>
          <w:tcPr>
            <w:tcW w:w="993" w:type="dxa"/>
            <w:shd w:val="clear" w:color="auto" w:fill="FFFFFF"/>
          </w:tcPr>
          <w:p w14:paraId="70F7D7E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5250" w:type="dxa"/>
            <w:shd w:val="clear" w:color="auto" w:fill="FFFFFF"/>
          </w:tcPr>
          <w:p w14:paraId="6F21DB7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Frequency and procedures for auditing trial conduct, if any, and whether the process will be independent from investigators and the sponsor</w:t>
            </w:r>
          </w:p>
        </w:tc>
        <w:tc>
          <w:tcPr>
            <w:tcW w:w="1420" w:type="dxa"/>
            <w:shd w:val="clear" w:color="auto" w:fill="FFFFFF"/>
          </w:tcPr>
          <w:p w14:paraId="00EDEA8F" w14:textId="4877ED60" w:rsidR="00DF7167" w:rsidRDefault="005D799C">
            <w:pPr>
              <w:rPr>
                <w:rFonts w:ascii="Times New Roman" w:eastAsia="Times New Roman" w:hAnsi="Times New Roman" w:cs="Times New Roman"/>
                <w:sz w:val="22"/>
                <w:szCs w:val="22"/>
              </w:rPr>
            </w:pPr>
            <w:r>
              <w:rPr>
                <w:rFonts w:ascii="Times New Roman" w:eastAsia="Times New Roman" w:hAnsi="Times New Roman" w:cs="Times New Roman"/>
                <w:sz w:val="22"/>
                <w:szCs w:val="22"/>
              </w:rPr>
              <w:t>Page 2</w:t>
            </w:r>
            <w:r w:rsidR="00942A67">
              <w:rPr>
                <w:rFonts w:ascii="Times New Roman" w:eastAsia="Times New Roman" w:hAnsi="Times New Roman" w:cs="Times New Roman"/>
                <w:sz w:val="22"/>
                <w:szCs w:val="22"/>
              </w:rPr>
              <w:t>7</w:t>
            </w:r>
          </w:p>
        </w:tc>
      </w:tr>
      <w:tr w:rsidR="00DF7167" w14:paraId="2B1366F0" w14:textId="77777777">
        <w:trPr>
          <w:cantSplit/>
          <w:trHeight w:val="259"/>
        </w:trPr>
        <w:tc>
          <w:tcPr>
            <w:tcW w:w="3259" w:type="dxa"/>
            <w:gridSpan w:val="2"/>
          </w:tcPr>
          <w:p w14:paraId="7D8AA32E"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Ethics and dissemination</w:t>
            </w:r>
          </w:p>
        </w:tc>
        <w:tc>
          <w:tcPr>
            <w:tcW w:w="5250" w:type="dxa"/>
          </w:tcPr>
          <w:p w14:paraId="4AA32A13" w14:textId="77777777" w:rsidR="00DF7167" w:rsidRDefault="00DF7167">
            <w:pPr>
              <w:pBdr>
                <w:top w:val="nil"/>
                <w:left w:val="nil"/>
                <w:bottom w:val="nil"/>
                <w:right w:val="nil"/>
                <w:between w:val="nil"/>
              </w:pBdr>
              <w:spacing w:before="120"/>
              <w:rPr>
                <w:rFonts w:ascii="Times New Roman" w:eastAsia="Times New Roman" w:hAnsi="Times New Roman" w:cs="Times New Roman"/>
                <w:b/>
                <w:color w:val="000000"/>
                <w:sz w:val="22"/>
                <w:szCs w:val="22"/>
              </w:rPr>
            </w:pPr>
          </w:p>
        </w:tc>
        <w:tc>
          <w:tcPr>
            <w:tcW w:w="1420" w:type="dxa"/>
          </w:tcPr>
          <w:p w14:paraId="7091F93C" w14:textId="77777777" w:rsidR="00DF7167" w:rsidRDefault="00DF7167">
            <w:pPr>
              <w:pBdr>
                <w:top w:val="nil"/>
                <w:left w:val="nil"/>
                <w:bottom w:val="nil"/>
                <w:right w:val="nil"/>
                <w:between w:val="nil"/>
              </w:pBdr>
              <w:spacing w:before="120"/>
              <w:rPr>
                <w:rFonts w:ascii="Times New Roman" w:eastAsia="Times New Roman" w:hAnsi="Times New Roman" w:cs="Times New Roman"/>
                <w:b/>
                <w:color w:val="000000"/>
                <w:sz w:val="22"/>
                <w:szCs w:val="22"/>
              </w:rPr>
            </w:pPr>
          </w:p>
        </w:tc>
      </w:tr>
      <w:tr w:rsidR="00DF7167" w14:paraId="35C5E6C1" w14:textId="77777777">
        <w:trPr>
          <w:cantSplit/>
          <w:trHeight w:val="259"/>
        </w:trPr>
        <w:tc>
          <w:tcPr>
            <w:tcW w:w="2266" w:type="dxa"/>
            <w:shd w:val="clear" w:color="auto" w:fill="auto"/>
            <w:tcMar>
              <w:top w:w="85" w:type="dxa"/>
              <w:bottom w:w="85" w:type="dxa"/>
            </w:tcMar>
          </w:tcPr>
          <w:p w14:paraId="2260CDA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ethics approval</w:t>
            </w:r>
          </w:p>
        </w:tc>
        <w:tc>
          <w:tcPr>
            <w:tcW w:w="993" w:type="dxa"/>
          </w:tcPr>
          <w:p w14:paraId="76BDFF3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5250" w:type="dxa"/>
          </w:tcPr>
          <w:p w14:paraId="71F4DDBC"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seeking research ethics committee/institutional review board (REC/IRB) approval</w:t>
            </w:r>
          </w:p>
        </w:tc>
        <w:tc>
          <w:tcPr>
            <w:tcW w:w="1420" w:type="dxa"/>
          </w:tcPr>
          <w:p w14:paraId="59EB5FC5" w14:textId="42AC986D"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3; </w:t>
            </w:r>
            <w:r w:rsidR="00942A67">
              <w:rPr>
                <w:rFonts w:ascii="Times New Roman" w:eastAsia="Times New Roman" w:hAnsi="Times New Roman" w:cs="Times New Roman"/>
                <w:sz w:val="22"/>
                <w:szCs w:val="22"/>
              </w:rPr>
              <w:t>28</w:t>
            </w:r>
          </w:p>
        </w:tc>
      </w:tr>
      <w:tr w:rsidR="00DF7167" w14:paraId="29AE17DC" w14:textId="77777777">
        <w:trPr>
          <w:cantSplit/>
          <w:trHeight w:val="259"/>
        </w:trPr>
        <w:tc>
          <w:tcPr>
            <w:tcW w:w="2266" w:type="dxa"/>
            <w:shd w:val="clear" w:color="auto" w:fill="auto"/>
            <w:tcMar>
              <w:top w:w="85" w:type="dxa"/>
              <w:bottom w:w="85" w:type="dxa"/>
            </w:tcMar>
          </w:tcPr>
          <w:p w14:paraId="043239F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Protocol amendments</w:t>
            </w:r>
          </w:p>
        </w:tc>
        <w:tc>
          <w:tcPr>
            <w:tcW w:w="993" w:type="dxa"/>
          </w:tcPr>
          <w:p w14:paraId="15E6163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5250" w:type="dxa"/>
          </w:tcPr>
          <w:p w14:paraId="36EE136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communicating important protocol modifications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changes to eligibility criteria, outcomes, analyses) to relevant parties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investigators, REC/IRBs, trial participants, trial registries, journals, regulators)</w:t>
            </w:r>
          </w:p>
        </w:tc>
        <w:tc>
          <w:tcPr>
            <w:tcW w:w="1420" w:type="dxa"/>
          </w:tcPr>
          <w:p w14:paraId="666AC901" w14:textId="726076DF"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827A69">
              <w:rPr>
                <w:rFonts w:ascii="Times New Roman" w:eastAsia="Times New Roman" w:hAnsi="Times New Roman" w:cs="Times New Roman"/>
                <w:sz w:val="22"/>
                <w:szCs w:val="22"/>
              </w:rPr>
              <w:t>10</w:t>
            </w:r>
          </w:p>
        </w:tc>
      </w:tr>
      <w:tr w:rsidR="00DF7167" w14:paraId="681809D9" w14:textId="77777777">
        <w:trPr>
          <w:cantSplit/>
          <w:trHeight w:val="259"/>
        </w:trPr>
        <w:tc>
          <w:tcPr>
            <w:tcW w:w="2266" w:type="dxa"/>
            <w:shd w:val="clear" w:color="auto" w:fill="auto"/>
            <w:tcMar>
              <w:top w:w="85" w:type="dxa"/>
              <w:bottom w:w="85" w:type="dxa"/>
            </w:tcMar>
          </w:tcPr>
          <w:p w14:paraId="16D62D5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Consent or assent</w:t>
            </w:r>
          </w:p>
        </w:tc>
        <w:tc>
          <w:tcPr>
            <w:tcW w:w="993" w:type="dxa"/>
          </w:tcPr>
          <w:p w14:paraId="3197057A"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26a</w:t>
            </w:r>
          </w:p>
        </w:tc>
        <w:tc>
          <w:tcPr>
            <w:tcW w:w="5250" w:type="dxa"/>
          </w:tcPr>
          <w:p w14:paraId="09B9F81C"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Who will obtain informed consent or assent from potential trial participants or authorised surrogates, and how (see Item 32)</w:t>
            </w:r>
          </w:p>
        </w:tc>
        <w:tc>
          <w:tcPr>
            <w:tcW w:w="1420" w:type="dxa"/>
          </w:tcPr>
          <w:p w14:paraId="3E6FF508" w14:textId="691CA949"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827A69">
              <w:rPr>
                <w:rFonts w:ascii="Times New Roman" w:eastAsia="Times New Roman" w:hAnsi="Times New Roman" w:cs="Times New Roman"/>
                <w:sz w:val="22"/>
                <w:szCs w:val="22"/>
              </w:rPr>
              <w:t>28</w:t>
            </w:r>
          </w:p>
        </w:tc>
      </w:tr>
      <w:tr w:rsidR="00DF7167" w14:paraId="760BC595" w14:textId="77777777">
        <w:trPr>
          <w:cantSplit/>
          <w:trHeight w:val="259"/>
        </w:trPr>
        <w:tc>
          <w:tcPr>
            <w:tcW w:w="2266" w:type="dxa"/>
            <w:shd w:val="clear" w:color="auto" w:fill="auto"/>
            <w:tcMar>
              <w:top w:w="85" w:type="dxa"/>
              <w:bottom w:w="85" w:type="dxa"/>
            </w:tcMar>
          </w:tcPr>
          <w:p w14:paraId="7D3EB0C8" w14:textId="77777777" w:rsidR="00DF7167" w:rsidRDefault="00DF7167">
            <w:pPr>
              <w:rPr>
                <w:rFonts w:ascii="Times New Roman" w:eastAsia="Times New Roman" w:hAnsi="Times New Roman" w:cs="Times New Roman"/>
                <w:sz w:val="22"/>
                <w:szCs w:val="22"/>
              </w:rPr>
            </w:pPr>
          </w:p>
        </w:tc>
        <w:tc>
          <w:tcPr>
            <w:tcW w:w="993" w:type="dxa"/>
          </w:tcPr>
          <w:p w14:paraId="6910D88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26b</w:t>
            </w:r>
          </w:p>
        </w:tc>
        <w:tc>
          <w:tcPr>
            <w:tcW w:w="5250" w:type="dxa"/>
          </w:tcPr>
          <w:p w14:paraId="464F6DD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consent provisions for collection and use of participant data and biological specimens in ancillary studies, if applicable</w:t>
            </w:r>
          </w:p>
        </w:tc>
        <w:tc>
          <w:tcPr>
            <w:tcW w:w="1420" w:type="dxa"/>
          </w:tcPr>
          <w:p w14:paraId="70368150" w14:textId="0B974AA3"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7751A2">
              <w:rPr>
                <w:rFonts w:ascii="Times New Roman" w:eastAsia="Times New Roman" w:hAnsi="Times New Roman" w:cs="Times New Roman"/>
                <w:sz w:val="22"/>
                <w:szCs w:val="22"/>
              </w:rPr>
              <w:t xml:space="preserve">ot applicable. This is a non-clinical trial and did not involve </w:t>
            </w:r>
            <w:r w:rsidR="00CF7BFA">
              <w:rPr>
                <w:rFonts w:ascii="Times New Roman" w:eastAsia="Times New Roman" w:hAnsi="Times New Roman" w:cs="Times New Roman"/>
                <w:sz w:val="22"/>
                <w:szCs w:val="22"/>
              </w:rPr>
              <w:t xml:space="preserve">the </w:t>
            </w:r>
            <w:r w:rsidR="007751A2">
              <w:rPr>
                <w:rFonts w:ascii="Times New Roman" w:eastAsia="Times New Roman" w:hAnsi="Times New Roman" w:cs="Times New Roman"/>
                <w:sz w:val="22"/>
                <w:szCs w:val="22"/>
              </w:rPr>
              <w:t>collecti</w:t>
            </w:r>
            <w:r w:rsidR="00CF7BFA">
              <w:rPr>
                <w:rFonts w:ascii="Times New Roman" w:eastAsia="Times New Roman" w:hAnsi="Times New Roman" w:cs="Times New Roman"/>
                <w:sz w:val="22"/>
                <w:szCs w:val="22"/>
              </w:rPr>
              <w:t>o</w:t>
            </w:r>
            <w:r w:rsidR="007751A2">
              <w:rPr>
                <w:rFonts w:ascii="Times New Roman" w:eastAsia="Times New Roman" w:hAnsi="Times New Roman" w:cs="Times New Roman"/>
                <w:sz w:val="22"/>
                <w:szCs w:val="22"/>
              </w:rPr>
              <w:t>n of any biological specimens.</w:t>
            </w:r>
          </w:p>
        </w:tc>
      </w:tr>
      <w:tr w:rsidR="00DF7167" w14:paraId="7483FB59" w14:textId="77777777">
        <w:trPr>
          <w:cantSplit/>
          <w:trHeight w:val="259"/>
        </w:trPr>
        <w:tc>
          <w:tcPr>
            <w:tcW w:w="2266" w:type="dxa"/>
            <w:shd w:val="clear" w:color="auto" w:fill="auto"/>
            <w:tcMar>
              <w:top w:w="85" w:type="dxa"/>
              <w:bottom w:w="85" w:type="dxa"/>
            </w:tcMar>
          </w:tcPr>
          <w:p w14:paraId="3CA7D82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Confidentiality</w:t>
            </w:r>
          </w:p>
        </w:tc>
        <w:tc>
          <w:tcPr>
            <w:tcW w:w="993" w:type="dxa"/>
          </w:tcPr>
          <w:p w14:paraId="0E1BD66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p>
        </w:tc>
        <w:tc>
          <w:tcPr>
            <w:tcW w:w="5250" w:type="dxa"/>
          </w:tcPr>
          <w:p w14:paraId="5CFC70BA" w14:textId="77777777" w:rsidR="00DF7167" w:rsidRDefault="002C6337">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How</w:t>
            </w:r>
            <w:proofErr w:type="gramEnd"/>
            <w:r>
              <w:rPr>
                <w:rFonts w:ascii="Times New Roman" w:eastAsia="Times New Roman" w:hAnsi="Times New Roman" w:cs="Times New Roman"/>
                <w:sz w:val="22"/>
                <w:szCs w:val="22"/>
              </w:rPr>
              <w:t xml:space="preserve"> personal information about potential and enrolled participants will be collected, shared, and maintained in order to protect confidentiality before, during, and after the trial</w:t>
            </w:r>
          </w:p>
        </w:tc>
        <w:tc>
          <w:tcPr>
            <w:tcW w:w="1420" w:type="dxa"/>
          </w:tcPr>
          <w:p w14:paraId="5B7D6476" w14:textId="7B42384E"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016403">
              <w:rPr>
                <w:rFonts w:ascii="Times New Roman" w:eastAsia="Times New Roman" w:hAnsi="Times New Roman" w:cs="Times New Roman"/>
                <w:sz w:val="22"/>
                <w:szCs w:val="22"/>
              </w:rPr>
              <w:t>29</w:t>
            </w:r>
          </w:p>
        </w:tc>
      </w:tr>
      <w:tr w:rsidR="00DF7167" w14:paraId="38376982" w14:textId="77777777">
        <w:trPr>
          <w:cantSplit/>
          <w:trHeight w:val="259"/>
        </w:trPr>
        <w:tc>
          <w:tcPr>
            <w:tcW w:w="2266" w:type="dxa"/>
            <w:shd w:val="clear" w:color="auto" w:fill="auto"/>
            <w:tcMar>
              <w:top w:w="85" w:type="dxa"/>
              <w:bottom w:w="85" w:type="dxa"/>
            </w:tcMar>
          </w:tcPr>
          <w:p w14:paraId="064E888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Declaration of interests</w:t>
            </w:r>
          </w:p>
        </w:tc>
        <w:tc>
          <w:tcPr>
            <w:tcW w:w="993" w:type="dxa"/>
          </w:tcPr>
          <w:p w14:paraId="0DD8A55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5250" w:type="dxa"/>
          </w:tcPr>
          <w:p w14:paraId="4B4BF5F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Financial and other competing interests for principal investigators for the overall trial and each study site</w:t>
            </w:r>
          </w:p>
        </w:tc>
        <w:tc>
          <w:tcPr>
            <w:tcW w:w="1420" w:type="dxa"/>
          </w:tcPr>
          <w:p w14:paraId="3C26D147" w14:textId="11023720"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F97B05">
              <w:rPr>
                <w:rFonts w:ascii="Times New Roman" w:eastAsia="Times New Roman" w:hAnsi="Times New Roman" w:cs="Times New Roman"/>
                <w:sz w:val="22"/>
                <w:szCs w:val="22"/>
              </w:rPr>
              <w:t>28</w:t>
            </w:r>
          </w:p>
        </w:tc>
      </w:tr>
      <w:tr w:rsidR="00DF7167" w14:paraId="7916B962" w14:textId="77777777">
        <w:trPr>
          <w:cantSplit/>
          <w:trHeight w:val="259"/>
        </w:trPr>
        <w:tc>
          <w:tcPr>
            <w:tcW w:w="2266" w:type="dxa"/>
            <w:shd w:val="clear" w:color="auto" w:fill="FFFFFF"/>
            <w:tcMar>
              <w:top w:w="85" w:type="dxa"/>
              <w:bottom w:w="85" w:type="dxa"/>
            </w:tcMar>
          </w:tcPr>
          <w:p w14:paraId="40D77C7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Access to data</w:t>
            </w:r>
          </w:p>
        </w:tc>
        <w:tc>
          <w:tcPr>
            <w:tcW w:w="993" w:type="dxa"/>
            <w:shd w:val="clear" w:color="auto" w:fill="FFFFFF"/>
          </w:tcPr>
          <w:p w14:paraId="25CEABB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5250" w:type="dxa"/>
            <w:shd w:val="clear" w:color="auto" w:fill="FFFFFF"/>
          </w:tcPr>
          <w:p w14:paraId="049E2DBA"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Statement of who will have access to the final trial dataset, and disclosure of contractual agreements that limit such access for investigators</w:t>
            </w:r>
          </w:p>
        </w:tc>
        <w:tc>
          <w:tcPr>
            <w:tcW w:w="1420" w:type="dxa"/>
            <w:shd w:val="clear" w:color="auto" w:fill="FFFFFF"/>
          </w:tcPr>
          <w:p w14:paraId="434CEC6C" w14:textId="105EA075"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CF7BFA">
              <w:rPr>
                <w:rFonts w:ascii="Times New Roman" w:eastAsia="Times New Roman" w:hAnsi="Times New Roman" w:cs="Times New Roman"/>
                <w:sz w:val="22"/>
                <w:szCs w:val="22"/>
              </w:rPr>
              <w:t>2</w:t>
            </w:r>
            <w:r w:rsidR="00F97B05">
              <w:rPr>
                <w:rFonts w:ascii="Times New Roman" w:eastAsia="Times New Roman" w:hAnsi="Times New Roman" w:cs="Times New Roman"/>
                <w:sz w:val="22"/>
                <w:szCs w:val="22"/>
              </w:rPr>
              <w:t>7</w:t>
            </w:r>
          </w:p>
        </w:tc>
      </w:tr>
      <w:tr w:rsidR="00DF7167" w14:paraId="4CA5805B" w14:textId="77777777">
        <w:trPr>
          <w:cantSplit/>
          <w:trHeight w:val="259"/>
        </w:trPr>
        <w:tc>
          <w:tcPr>
            <w:tcW w:w="2266" w:type="dxa"/>
            <w:shd w:val="clear" w:color="auto" w:fill="FFFFFF"/>
            <w:tcMar>
              <w:top w:w="85" w:type="dxa"/>
              <w:bottom w:w="85" w:type="dxa"/>
            </w:tcMar>
          </w:tcPr>
          <w:p w14:paraId="77D2CFBF"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Ancillary and post-trial care</w:t>
            </w:r>
          </w:p>
        </w:tc>
        <w:tc>
          <w:tcPr>
            <w:tcW w:w="993" w:type="dxa"/>
            <w:shd w:val="clear" w:color="auto" w:fill="FFFFFF"/>
          </w:tcPr>
          <w:p w14:paraId="6D78C8FF"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5250" w:type="dxa"/>
            <w:shd w:val="clear" w:color="auto" w:fill="FFFFFF"/>
          </w:tcPr>
          <w:p w14:paraId="4DC3CD28"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Provisions, if any, for ancillary and post-trial care, and for compensation to those who suffer harm from trial participation</w:t>
            </w:r>
          </w:p>
        </w:tc>
        <w:tc>
          <w:tcPr>
            <w:tcW w:w="1420" w:type="dxa"/>
            <w:shd w:val="clear" w:color="auto" w:fill="FFFFFF"/>
          </w:tcPr>
          <w:p w14:paraId="6BA24E5F" w14:textId="193E53F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E0754D">
              <w:rPr>
                <w:rFonts w:ascii="Times New Roman" w:eastAsia="Times New Roman" w:hAnsi="Times New Roman" w:cs="Times New Roman"/>
                <w:sz w:val="22"/>
                <w:szCs w:val="22"/>
              </w:rPr>
              <w:t xml:space="preserve">ot applicable. </w:t>
            </w:r>
            <w:r w:rsidR="00E0754D" w:rsidRPr="00E0754D">
              <w:rPr>
                <w:rFonts w:ascii="Times New Roman" w:eastAsia="Times New Roman" w:hAnsi="Times New Roman" w:cs="Times New Roman"/>
                <w:color w:val="222222"/>
                <w:sz w:val="22"/>
                <w:szCs w:val="22"/>
              </w:rPr>
              <w:t>There is no anticipated harm and compensation for trial participation</w:t>
            </w:r>
            <w:r w:rsidR="00F92107">
              <w:rPr>
                <w:rFonts w:ascii="Times New Roman" w:eastAsia="Times New Roman" w:hAnsi="Times New Roman" w:cs="Times New Roman"/>
                <w:color w:val="222222"/>
                <w:sz w:val="22"/>
                <w:szCs w:val="22"/>
              </w:rPr>
              <w:t>.</w:t>
            </w:r>
            <w:r w:rsidR="00E0754D" w:rsidDel="00E0754D">
              <w:rPr>
                <w:rFonts w:ascii="Times New Roman" w:eastAsia="Times New Roman" w:hAnsi="Times New Roman" w:cs="Times New Roman"/>
                <w:sz w:val="22"/>
                <w:szCs w:val="22"/>
              </w:rPr>
              <w:t xml:space="preserve"> </w:t>
            </w:r>
          </w:p>
        </w:tc>
      </w:tr>
      <w:tr w:rsidR="00DF7167" w14:paraId="5D28D315" w14:textId="77777777">
        <w:trPr>
          <w:cantSplit/>
          <w:trHeight w:val="259"/>
        </w:trPr>
        <w:tc>
          <w:tcPr>
            <w:tcW w:w="2266" w:type="dxa"/>
            <w:shd w:val="clear" w:color="auto" w:fill="auto"/>
            <w:tcMar>
              <w:top w:w="85" w:type="dxa"/>
              <w:bottom w:w="85" w:type="dxa"/>
            </w:tcMar>
          </w:tcPr>
          <w:p w14:paraId="043A07FE"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Dissemination policy</w:t>
            </w:r>
          </w:p>
        </w:tc>
        <w:tc>
          <w:tcPr>
            <w:tcW w:w="993" w:type="dxa"/>
          </w:tcPr>
          <w:p w14:paraId="41514216"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31a</w:t>
            </w:r>
          </w:p>
        </w:tc>
        <w:tc>
          <w:tcPr>
            <w:tcW w:w="5250" w:type="dxa"/>
          </w:tcPr>
          <w:p w14:paraId="65612347"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investigators and sponsor to communicate trial results to participants, healthcare professionals, the public, and other relevant groups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via publication, reporting in results databases, or other data sharing arrangements), including any publication restrictions</w:t>
            </w:r>
          </w:p>
        </w:tc>
        <w:tc>
          <w:tcPr>
            <w:tcW w:w="1420" w:type="dxa"/>
          </w:tcPr>
          <w:p w14:paraId="5A933A1A" w14:textId="2189D1A6"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3; </w:t>
            </w:r>
            <w:r w:rsidR="00D1196A">
              <w:rPr>
                <w:rFonts w:ascii="Times New Roman" w:eastAsia="Times New Roman" w:hAnsi="Times New Roman" w:cs="Times New Roman"/>
                <w:sz w:val="22"/>
                <w:szCs w:val="22"/>
              </w:rPr>
              <w:t>28</w:t>
            </w:r>
          </w:p>
        </w:tc>
      </w:tr>
      <w:tr w:rsidR="00DF7167" w14:paraId="2B7DB3A1" w14:textId="77777777">
        <w:trPr>
          <w:cantSplit/>
          <w:trHeight w:val="259"/>
        </w:trPr>
        <w:tc>
          <w:tcPr>
            <w:tcW w:w="2266" w:type="dxa"/>
            <w:shd w:val="clear" w:color="auto" w:fill="auto"/>
            <w:tcMar>
              <w:top w:w="85" w:type="dxa"/>
              <w:bottom w:w="85" w:type="dxa"/>
            </w:tcMar>
          </w:tcPr>
          <w:p w14:paraId="0236AC17" w14:textId="77777777" w:rsidR="00DF7167" w:rsidRDefault="00DF7167">
            <w:pPr>
              <w:rPr>
                <w:rFonts w:ascii="Times New Roman" w:eastAsia="Times New Roman" w:hAnsi="Times New Roman" w:cs="Times New Roman"/>
                <w:sz w:val="22"/>
                <w:szCs w:val="22"/>
              </w:rPr>
            </w:pPr>
          </w:p>
        </w:tc>
        <w:tc>
          <w:tcPr>
            <w:tcW w:w="993" w:type="dxa"/>
          </w:tcPr>
          <w:p w14:paraId="0674B192"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31b</w:t>
            </w:r>
          </w:p>
        </w:tc>
        <w:tc>
          <w:tcPr>
            <w:tcW w:w="5250" w:type="dxa"/>
          </w:tcPr>
          <w:p w14:paraId="45CCDEE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Authorship eligibility guidelines and any intended use of professional writers</w:t>
            </w:r>
          </w:p>
        </w:tc>
        <w:tc>
          <w:tcPr>
            <w:tcW w:w="1420" w:type="dxa"/>
          </w:tcPr>
          <w:p w14:paraId="5F8FD225" w14:textId="12E55F23"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24380B">
              <w:rPr>
                <w:rFonts w:ascii="Times New Roman" w:eastAsia="Times New Roman" w:hAnsi="Times New Roman" w:cs="Times New Roman"/>
                <w:sz w:val="22"/>
                <w:szCs w:val="22"/>
              </w:rPr>
              <w:t>28</w:t>
            </w:r>
          </w:p>
        </w:tc>
      </w:tr>
      <w:tr w:rsidR="00DF7167" w14:paraId="3F91030D" w14:textId="77777777">
        <w:trPr>
          <w:cantSplit/>
          <w:trHeight w:val="259"/>
        </w:trPr>
        <w:tc>
          <w:tcPr>
            <w:tcW w:w="2266" w:type="dxa"/>
            <w:shd w:val="clear" w:color="auto" w:fill="auto"/>
            <w:tcMar>
              <w:top w:w="85" w:type="dxa"/>
              <w:bottom w:w="85" w:type="dxa"/>
            </w:tcMar>
          </w:tcPr>
          <w:p w14:paraId="1060E755" w14:textId="77777777" w:rsidR="00DF7167" w:rsidRDefault="00DF7167">
            <w:pPr>
              <w:rPr>
                <w:rFonts w:ascii="Times New Roman" w:eastAsia="Times New Roman" w:hAnsi="Times New Roman" w:cs="Times New Roman"/>
                <w:sz w:val="22"/>
                <w:szCs w:val="22"/>
              </w:rPr>
            </w:pPr>
          </w:p>
        </w:tc>
        <w:tc>
          <w:tcPr>
            <w:tcW w:w="993" w:type="dxa"/>
          </w:tcPr>
          <w:p w14:paraId="70975210"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31c</w:t>
            </w:r>
          </w:p>
        </w:tc>
        <w:tc>
          <w:tcPr>
            <w:tcW w:w="5250" w:type="dxa"/>
          </w:tcPr>
          <w:p w14:paraId="783413C4"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if any, for granting public access to the full protocol, participant-level dataset, and statistical code</w:t>
            </w:r>
          </w:p>
        </w:tc>
        <w:tc>
          <w:tcPr>
            <w:tcW w:w="1420" w:type="dxa"/>
          </w:tcPr>
          <w:p w14:paraId="00E72C09" w14:textId="2960A33B"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Page </w:t>
            </w:r>
            <w:r w:rsidR="002D7E83">
              <w:rPr>
                <w:rFonts w:ascii="Times New Roman" w:eastAsia="Times New Roman" w:hAnsi="Times New Roman" w:cs="Times New Roman"/>
                <w:sz w:val="22"/>
                <w:szCs w:val="22"/>
              </w:rPr>
              <w:t>2</w:t>
            </w:r>
            <w:r w:rsidR="00F97B05">
              <w:rPr>
                <w:rFonts w:ascii="Times New Roman" w:eastAsia="Times New Roman" w:hAnsi="Times New Roman" w:cs="Times New Roman"/>
                <w:sz w:val="22"/>
                <w:szCs w:val="22"/>
              </w:rPr>
              <w:t>7</w:t>
            </w:r>
          </w:p>
        </w:tc>
      </w:tr>
      <w:tr w:rsidR="00DF7167" w14:paraId="241F63F7" w14:textId="77777777">
        <w:trPr>
          <w:cantSplit/>
          <w:trHeight w:val="259"/>
        </w:trPr>
        <w:tc>
          <w:tcPr>
            <w:tcW w:w="2266" w:type="dxa"/>
            <w:shd w:val="clear" w:color="auto" w:fill="auto"/>
            <w:tcMar>
              <w:top w:w="85" w:type="dxa"/>
              <w:bottom w:w="85" w:type="dxa"/>
            </w:tcMar>
          </w:tcPr>
          <w:p w14:paraId="392EE2E4" w14:textId="77777777" w:rsidR="00DF7167" w:rsidRDefault="002C6337">
            <w:pPr>
              <w:pBdr>
                <w:top w:val="nil"/>
                <w:left w:val="nil"/>
                <w:bottom w:val="nil"/>
                <w:right w:val="nil"/>
                <w:between w:val="nil"/>
              </w:pBdr>
              <w:spacing w:before="1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Appendices</w:t>
            </w:r>
          </w:p>
        </w:tc>
        <w:tc>
          <w:tcPr>
            <w:tcW w:w="993" w:type="dxa"/>
          </w:tcPr>
          <w:p w14:paraId="56C3099C" w14:textId="77777777" w:rsidR="00DF7167" w:rsidRDefault="00DF7167">
            <w:pPr>
              <w:rPr>
                <w:rFonts w:ascii="Times New Roman" w:eastAsia="Times New Roman" w:hAnsi="Times New Roman" w:cs="Times New Roman"/>
                <w:sz w:val="22"/>
                <w:szCs w:val="22"/>
              </w:rPr>
            </w:pPr>
          </w:p>
        </w:tc>
        <w:tc>
          <w:tcPr>
            <w:tcW w:w="5250" w:type="dxa"/>
          </w:tcPr>
          <w:p w14:paraId="13549C23" w14:textId="77777777" w:rsidR="00DF7167" w:rsidRDefault="00DF7167">
            <w:pPr>
              <w:rPr>
                <w:rFonts w:ascii="Times New Roman" w:eastAsia="Times New Roman" w:hAnsi="Times New Roman" w:cs="Times New Roman"/>
                <w:sz w:val="22"/>
                <w:szCs w:val="22"/>
              </w:rPr>
            </w:pPr>
          </w:p>
        </w:tc>
        <w:tc>
          <w:tcPr>
            <w:tcW w:w="1420" w:type="dxa"/>
          </w:tcPr>
          <w:p w14:paraId="2FF6A4DC" w14:textId="77777777" w:rsidR="00DF7167" w:rsidRDefault="00DF7167">
            <w:pPr>
              <w:rPr>
                <w:rFonts w:ascii="Times New Roman" w:eastAsia="Times New Roman" w:hAnsi="Times New Roman" w:cs="Times New Roman"/>
                <w:sz w:val="22"/>
                <w:szCs w:val="22"/>
              </w:rPr>
            </w:pPr>
          </w:p>
        </w:tc>
      </w:tr>
      <w:tr w:rsidR="00DF7167" w14:paraId="411C18C7" w14:textId="77777777">
        <w:trPr>
          <w:cantSplit/>
          <w:trHeight w:val="259"/>
        </w:trPr>
        <w:tc>
          <w:tcPr>
            <w:tcW w:w="2266" w:type="dxa"/>
            <w:shd w:val="clear" w:color="auto" w:fill="auto"/>
            <w:tcMar>
              <w:top w:w="85" w:type="dxa"/>
              <w:bottom w:w="85" w:type="dxa"/>
            </w:tcMar>
          </w:tcPr>
          <w:p w14:paraId="634ABE9D"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Informed consent materials</w:t>
            </w:r>
          </w:p>
        </w:tc>
        <w:tc>
          <w:tcPr>
            <w:tcW w:w="993" w:type="dxa"/>
          </w:tcPr>
          <w:p w14:paraId="457F7C9A"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c>
          <w:tcPr>
            <w:tcW w:w="5250" w:type="dxa"/>
          </w:tcPr>
          <w:p w14:paraId="46DC0B8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Model consent form and other related documentation given to participants and authorised surrogates</w:t>
            </w:r>
          </w:p>
        </w:tc>
        <w:tc>
          <w:tcPr>
            <w:tcW w:w="1420" w:type="dxa"/>
          </w:tcPr>
          <w:p w14:paraId="02B3A70C" w14:textId="49C0EDA3"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Appendices </w:t>
            </w:r>
            <w:r w:rsidR="00AF29F8">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&amp; </w:t>
            </w:r>
            <w:r w:rsidR="00AF29F8">
              <w:rPr>
                <w:rFonts w:ascii="Times New Roman" w:eastAsia="Times New Roman" w:hAnsi="Times New Roman" w:cs="Times New Roman"/>
                <w:sz w:val="22"/>
                <w:szCs w:val="22"/>
              </w:rPr>
              <w:t>4</w:t>
            </w:r>
          </w:p>
        </w:tc>
      </w:tr>
      <w:tr w:rsidR="00DF7167" w14:paraId="01DE60D0" w14:textId="77777777">
        <w:trPr>
          <w:cantSplit/>
          <w:trHeight w:val="259"/>
        </w:trPr>
        <w:tc>
          <w:tcPr>
            <w:tcW w:w="2266" w:type="dxa"/>
            <w:shd w:val="clear" w:color="auto" w:fill="auto"/>
            <w:tcMar>
              <w:top w:w="85" w:type="dxa"/>
              <w:bottom w:w="85" w:type="dxa"/>
            </w:tcMar>
          </w:tcPr>
          <w:p w14:paraId="6DEF6495"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Biological specimens</w:t>
            </w:r>
          </w:p>
        </w:tc>
        <w:tc>
          <w:tcPr>
            <w:tcW w:w="993" w:type="dxa"/>
          </w:tcPr>
          <w:p w14:paraId="13F29441"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p>
        </w:tc>
        <w:tc>
          <w:tcPr>
            <w:tcW w:w="5250" w:type="dxa"/>
          </w:tcPr>
          <w:p w14:paraId="5C2E3949"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Plans for collection, laboratory evaluation, and storage of biological specimens for genetic or molecular analysis in the current trial and for future use in ancillary studies, if applicable</w:t>
            </w:r>
          </w:p>
        </w:tc>
        <w:tc>
          <w:tcPr>
            <w:tcW w:w="1420" w:type="dxa"/>
          </w:tcPr>
          <w:p w14:paraId="74587DC8" w14:textId="7B62E738" w:rsidR="00DF7167" w:rsidRDefault="009F1BCE">
            <w:pPr>
              <w:rPr>
                <w:rFonts w:ascii="Times New Roman" w:eastAsia="Times New Roman" w:hAnsi="Times New Roman" w:cs="Times New Roman"/>
                <w:sz w:val="22"/>
                <w:szCs w:val="22"/>
              </w:rPr>
            </w:pPr>
            <w:r>
              <w:rPr>
                <w:rFonts w:ascii="Times New Roman" w:eastAsia="Times New Roman" w:hAnsi="Times New Roman" w:cs="Times New Roman"/>
                <w:sz w:val="22"/>
                <w:szCs w:val="22"/>
              </w:rPr>
              <w:t>Not applicable. Please refer to item 26b: no biological specimens will be collected</w:t>
            </w:r>
            <w:r w:rsidR="001908AB">
              <w:rPr>
                <w:rFonts w:ascii="Times New Roman" w:eastAsia="Times New Roman" w:hAnsi="Times New Roman" w:cs="Times New Roman"/>
                <w:sz w:val="22"/>
                <w:szCs w:val="22"/>
              </w:rPr>
              <w:t>.</w:t>
            </w:r>
          </w:p>
        </w:tc>
      </w:tr>
    </w:tbl>
    <w:p w14:paraId="4B34C87B" w14:textId="77777777" w:rsidR="00DF7167" w:rsidRDefault="002C6337">
      <w:pPr>
        <w:rPr>
          <w:rFonts w:ascii="Times New Roman" w:eastAsia="Times New Roman" w:hAnsi="Times New Roman" w:cs="Times New Roman"/>
          <w:sz w:val="22"/>
          <w:szCs w:val="22"/>
        </w:rPr>
      </w:pPr>
      <w:r>
        <w:rPr>
          <w:rFonts w:ascii="Times New Roman" w:eastAsia="Times New Roman" w:hAnsi="Times New Roman" w:cs="Times New Roman"/>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9">
        <w:r>
          <w:rPr>
            <w:rFonts w:ascii="Times New Roman" w:eastAsia="Times New Roman" w:hAnsi="Times New Roman" w:cs="Times New Roman"/>
            <w:color w:val="0000FF"/>
            <w:sz w:val="22"/>
            <w:szCs w:val="22"/>
            <w:u w:val="single"/>
          </w:rPr>
          <w:t>Attribution-</w:t>
        </w:r>
        <w:proofErr w:type="spellStart"/>
        <w:r>
          <w:rPr>
            <w:rFonts w:ascii="Times New Roman" w:eastAsia="Times New Roman" w:hAnsi="Times New Roman" w:cs="Times New Roman"/>
            <w:color w:val="0000FF"/>
            <w:sz w:val="22"/>
            <w:szCs w:val="22"/>
            <w:u w:val="single"/>
          </w:rPr>
          <w:t>NonCommercial</w:t>
        </w:r>
        <w:proofErr w:type="spellEnd"/>
        <w:r>
          <w:rPr>
            <w:rFonts w:ascii="Times New Roman" w:eastAsia="Times New Roman" w:hAnsi="Times New Roman" w:cs="Times New Roman"/>
            <w:color w:val="0000FF"/>
            <w:sz w:val="22"/>
            <w:szCs w:val="22"/>
            <w:u w:val="single"/>
          </w:rPr>
          <w:t>-</w:t>
        </w:r>
        <w:proofErr w:type="spellStart"/>
        <w:r>
          <w:rPr>
            <w:rFonts w:ascii="Times New Roman" w:eastAsia="Times New Roman" w:hAnsi="Times New Roman" w:cs="Times New Roman"/>
            <w:color w:val="0000FF"/>
            <w:sz w:val="22"/>
            <w:szCs w:val="22"/>
            <w:u w:val="single"/>
          </w:rPr>
          <w:t>NoDerivs</w:t>
        </w:r>
        <w:proofErr w:type="spellEnd"/>
        <w:r>
          <w:rPr>
            <w:rFonts w:ascii="Times New Roman" w:eastAsia="Times New Roman" w:hAnsi="Times New Roman" w:cs="Times New Roman"/>
            <w:color w:val="0000FF"/>
            <w:sz w:val="22"/>
            <w:szCs w:val="22"/>
            <w:u w:val="single"/>
          </w:rPr>
          <w:t xml:space="preserve"> 3.0 </w:t>
        </w:r>
        <w:proofErr w:type="spellStart"/>
        <w:r>
          <w:rPr>
            <w:rFonts w:ascii="Times New Roman" w:eastAsia="Times New Roman" w:hAnsi="Times New Roman" w:cs="Times New Roman"/>
            <w:color w:val="0000FF"/>
            <w:sz w:val="22"/>
            <w:szCs w:val="22"/>
            <w:u w:val="single"/>
          </w:rPr>
          <w:t>Unported</w:t>
        </w:r>
        <w:proofErr w:type="spellEnd"/>
      </w:hyperlink>
      <w:r>
        <w:rPr>
          <w:rFonts w:ascii="Times New Roman" w:eastAsia="Times New Roman" w:hAnsi="Times New Roman" w:cs="Times New Roman"/>
          <w:sz w:val="22"/>
          <w:szCs w:val="22"/>
        </w:rPr>
        <w:t>” license.</w:t>
      </w:r>
    </w:p>
    <w:p w14:paraId="42FBE403" w14:textId="77777777" w:rsidR="00DF7167" w:rsidRDefault="00DF7167">
      <w:pPr>
        <w:shd w:val="clear" w:color="auto" w:fill="FFFFFF"/>
        <w:rPr>
          <w:rFonts w:ascii="Times New Roman" w:eastAsia="Times New Roman" w:hAnsi="Times New Roman" w:cs="Times New Roman"/>
          <w:sz w:val="22"/>
          <w:szCs w:val="22"/>
        </w:rPr>
      </w:pPr>
    </w:p>
    <w:p w14:paraId="546722F3" w14:textId="77777777" w:rsidR="00DF7167" w:rsidRDefault="002C6337">
      <w:p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References</w:t>
      </w:r>
    </w:p>
    <w:p w14:paraId="13B4B8A5" w14:textId="2FE36ED0" w:rsidR="00DF7167" w:rsidRDefault="002C6337">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 xml:space="preserve">Chan, A.-W., et al., </w:t>
      </w:r>
      <w:r>
        <w:rPr>
          <w:rFonts w:ascii="Times New Roman" w:eastAsia="Times New Roman" w:hAnsi="Times New Roman" w:cs="Times New Roman"/>
          <w:i/>
          <w:color w:val="000000"/>
        </w:rPr>
        <w:t>SPIRIT 2013 explanation and elaboration: guidance for protocols of clinical trials.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Bmj</w:t>
      </w:r>
      <w:proofErr w:type="spellEnd"/>
      <w:r>
        <w:rPr>
          <w:rFonts w:ascii="Times New Roman" w:eastAsia="Times New Roman" w:hAnsi="Times New Roman" w:cs="Times New Roman"/>
          <w:color w:val="000000"/>
        </w:rPr>
        <w:t xml:space="preserve">, 2013. </w:t>
      </w:r>
      <w:r>
        <w:rPr>
          <w:rFonts w:ascii="Times New Roman" w:eastAsia="Times New Roman" w:hAnsi="Times New Roman" w:cs="Times New Roman"/>
          <w:b/>
          <w:color w:val="000000"/>
        </w:rPr>
        <w:t>346</w:t>
      </w:r>
      <w:r>
        <w:rPr>
          <w:rFonts w:ascii="Times New Roman" w:eastAsia="Times New Roman" w:hAnsi="Times New Roman" w:cs="Times New Roman"/>
          <w:color w:val="000000"/>
        </w:rPr>
        <w:t>.</w:t>
      </w:r>
    </w:p>
    <w:p w14:paraId="431EEBD1" w14:textId="77777777" w:rsidR="004E7A43" w:rsidRDefault="004E7A43">
      <w:pPr>
        <w:pBdr>
          <w:top w:val="nil"/>
          <w:left w:val="nil"/>
          <w:bottom w:val="nil"/>
          <w:right w:val="nil"/>
          <w:between w:val="nil"/>
        </w:pBdr>
        <w:ind w:left="720" w:hanging="720"/>
        <w:rPr>
          <w:rFonts w:ascii="Times New Roman" w:eastAsia="Times New Roman" w:hAnsi="Times New Roman" w:cs="Times New Roman"/>
        </w:rPr>
      </w:pPr>
    </w:p>
    <w:sectPr w:rsidR="004E7A43">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FCC5" w14:textId="77777777" w:rsidR="00A774B9" w:rsidRDefault="00A774B9">
      <w:r>
        <w:separator/>
      </w:r>
    </w:p>
  </w:endnote>
  <w:endnote w:type="continuationSeparator" w:id="0">
    <w:p w14:paraId="456EB2AF" w14:textId="77777777" w:rsidR="00A774B9" w:rsidRDefault="00A7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B138" w14:textId="77777777" w:rsidR="00DF7167" w:rsidRDefault="00DF71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75CC" w14:textId="1C4D58EA" w:rsidR="00DF7167" w:rsidRDefault="00D70AA9">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rPr>
      <w:t>December 31</w:t>
    </w:r>
    <w:r w:rsidR="002C6337">
      <w:rPr>
        <w:rFonts w:ascii="Times New Roman" w:eastAsia="Times New Roman" w:hAnsi="Times New Roman" w:cs="Times New Roman"/>
        <w:color w:val="000000"/>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0160" w14:textId="77777777" w:rsidR="00DF7167" w:rsidRDefault="00DF71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DC82" w14:textId="77777777" w:rsidR="00A774B9" w:rsidRDefault="00A774B9">
      <w:r>
        <w:separator/>
      </w:r>
    </w:p>
  </w:footnote>
  <w:footnote w:type="continuationSeparator" w:id="0">
    <w:p w14:paraId="72AD2B79" w14:textId="77777777" w:rsidR="00A774B9" w:rsidRDefault="00A7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85F" w14:textId="77777777" w:rsidR="00DF7167" w:rsidRDefault="00DF71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EB92" w14:textId="77777777" w:rsidR="00DF7167" w:rsidRDefault="00DF716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107" w14:textId="77777777" w:rsidR="00DF7167" w:rsidRDefault="00DF716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67"/>
    <w:rsid w:val="00016403"/>
    <w:rsid w:val="000D0641"/>
    <w:rsid w:val="001231BB"/>
    <w:rsid w:val="0012343C"/>
    <w:rsid w:val="00166E24"/>
    <w:rsid w:val="001908AB"/>
    <w:rsid w:val="001C6827"/>
    <w:rsid w:val="002403EE"/>
    <w:rsid w:val="0024380B"/>
    <w:rsid w:val="00246159"/>
    <w:rsid w:val="0025215F"/>
    <w:rsid w:val="002A212D"/>
    <w:rsid w:val="002C6337"/>
    <w:rsid w:val="002D6D1F"/>
    <w:rsid w:val="002D7E83"/>
    <w:rsid w:val="00302AA5"/>
    <w:rsid w:val="00331FAF"/>
    <w:rsid w:val="00392717"/>
    <w:rsid w:val="004E7A43"/>
    <w:rsid w:val="00542019"/>
    <w:rsid w:val="0056264D"/>
    <w:rsid w:val="005D799C"/>
    <w:rsid w:val="005F2F9B"/>
    <w:rsid w:val="00667880"/>
    <w:rsid w:val="006B463F"/>
    <w:rsid w:val="00773507"/>
    <w:rsid w:val="007751A2"/>
    <w:rsid w:val="007A268C"/>
    <w:rsid w:val="007B334C"/>
    <w:rsid w:val="00827A69"/>
    <w:rsid w:val="00897561"/>
    <w:rsid w:val="008B066C"/>
    <w:rsid w:val="00917E91"/>
    <w:rsid w:val="00942A67"/>
    <w:rsid w:val="00945C12"/>
    <w:rsid w:val="009F1BCE"/>
    <w:rsid w:val="009F37F0"/>
    <w:rsid w:val="009F6441"/>
    <w:rsid w:val="00A3021F"/>
    <w:rsid w:val="00A65740"/>
    <w:rsid w:val="00A774B9"/>
    <w:rsid w:val="00AF29F8"/>
    <w:rsid w:val="00B14A86"/>
    <w:rsid w:val="00B61918"/>
    <w:rsid w:val="00B63BA8"/>
    <w:rsid w:val="00B92B36"/>
    <w:rsid w:val="00BA5323"/>
    <w:rsid w:val="00BB0573"/>
    <w:rsid w:val="00BB4B4C"/>
    <w:rsid w:val="00C2698E"/>
    <w:rsid w:val="00C379A0"/>
    <w:rsid w:val="00C822E9"/>
    <w:rsid w:val="00CD309F"/>
    <w:rsid w:val="00CF2AD6"/>
    <w:rsid w:val="00CF7BFA"/>
    <w:rsid w:val="00D04110"/>
    <w:rsid w:val="00D1196A"/>
    <w:rsid w:val="00D36F3D"/>
    <w:rsid w:val="00D70AA9"/>
    <w:rsid w:val="00DF7167"/>
    <w:rsid w:val="00E0754D"/>
    <w:rsid w:val="00E44476"/>
    <w:rsid w:val="00E4753F"/>
    <w:rsid w:val="00E82759"/>
    <w:rsid w:val="00F52B2F"/>
    <w:rsid w:val="00F8214F"/>
    <w:rsid w:val="00F92107"/>
    <w:rsid w:val="00F97B0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B08"/>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47F3"/>
    <w:pPr>
      <w:ind w:left="720"/>
      <w:contextualSpacing/>
    </w:pPr>
  </w:style>
  <w:style w:type="paragraph" w:styleId="BalloonText">
    <w:name w:val="Balloon Text"/>
    <w:basedOn w:val="Normal"/>
    <w:link w:val="BalloonTextChar"/>
    <w:uiPriority w:val="99"/>
    <w:semiHidden/>
    <w:unhideWhenUsed/>
    <w:rsid w:val="00E05C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C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784D"/>
    <w:rPr>
      <w:sz w:val="16"/>
      <w:szCs w:val="16"/>
    </w:rPr>
  </w:style>
  <w:style w:type="paragraph" w:styleId="CommentText">
    <w:name w:val="annotation text"/>
    <w:basedOn w:val="Normal"/>
    <w:link w:val="CommentTextChar"/>
    <w:uiPriority w:val="99"/>
    <w:semiHidden/>
    <w:unhideWhenUsed/>
    <w:rsid w:val="00AD784D"/>
    <w:rPr>
      <w:sz w:val="20"/>
      <w:szCs w:val="20"/>
    </w:rPr>
  </w:style>
  <w:style w:type="character" w:customStyle="1" w:styleId="CommentTextChar">
    <w:name w:val="Comment Text Char"/>
    <w:basedOn w:val="DefaultParagraphFont"/>
    <w:link w:val="CommentText"/>
    <w:uiPriority w:val="99"/>
    <w:semiHidden/>
    <w:rsid w:val="00AD784D"/>
    <w:rPr>
      <w:sz w:val="20"/>
      <w:szCs w:val="20"/>
    </w:rPr>
  </w:style>
  <w:style w:type="paragraph" w:styleId="CommentSubject">
    <w:name w:val="annotation subject"/>
    <w:basedOn w:val="CommentText"/>
    <w:next w:val="CommentText"/>
    <w:link w:val="CommentSubjectChar"/>
    <w:uiPriority w:val="99"/>
    <w:semiHidden/>
    <w:unhideWhenUsed/>
    <w:rsid w:val="00AD784D"/>
    <w:rPr>
      <w:b/>
      <w:bCs/>
    </w:rPr>
  </w:style>
  <w:style w:type="character" w:customStyle="1" w:styleId="CommentSubjectChar">
    <w:name w:val="Comment Subject Char"/>
    <w:basedOn w:val="CommentTextChar"/>
    <w:link w:val="CommentSubject"/>
    <w:uiPriority w:val="99"/>
    <w:semiHidden/>
    <w:rsid w:val="00AD784D"/>
    <w:rPr>
      <w:b/>
      <w:bCs/>
      <w:sz w:val="20"/>
      <w:szCs w:val="20"/>
    </w:rPr>
  </w:style>
  <w:style w:type="paragraph" w:styleId="Revision">
    <w:name w:val="Revision"/>
    <w:hidden/>
    <w:uiPriority w:val="99"/>
    <w:semiHidden/>
    <w:rsid w:val="00C73DC0"/>
  </w:style>
  <w:style w:type="paragraph" w:styleId="NormalWeb">
    <w:name w:val="Normal (Web)"/>
    <w:basedOn w:val="Normal"/>
    <w:uiPriority w:val="99"/>
    <w:semiHidden/>
    <w:unhideWhenUsed/>
    <w:rsid w:val="000D3F7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83B08"/>
    <w:rPr>
      <w:rFonts w:asciiTheme="majorHAnsi" w:eastAsiaTheme="majorEastAsia" w:hAnsiTheme="majorHAnsi" w:cstheme="majorBidi"/>
      <w:color w:val="2F5496" w:themeColor="accent1" w:themeShade="BF"/>
      <w:sz w:val="32"/>
      <w:szCs w:val="32"/>
      <w:lang w:val="en-US"/>
    </w:rPr>
  </w:style>
  <w:style w:type="paragraph" w:customStyle="1" w:styleId="TableTitle">
    <w:name w:val="TableTitle"/>
    <w:basedOn w:val="Normal"/>
    <w:rsid w:val="006F49A9"/>
    <w:pPr>
      <w:spacing w:line="300" w:lineRule="exact"/>
    </w:pPr>
    <w:rPr>
      <w:rFonts w:ascii="Times New Roman" w:eastAsia="Times New Roman" w:hAnsi="Times New Roman" w:cs="Times New Roman"/>
      <w:szCs w:val="20"/>
      <w:lang w:val="en-GB"/>
    </w:rPr>
  </w:style>
  <w:style w:type="character" w:styleId="Hyperlink">
    <w:name w:val="Hyperlink"/>
    <w:rsid w:val="006F49A9"/>
    <w:rPr>
      <w:color w:val="0000FF"/>
      <w:u w:val="single"/>
    </w:rPr>
  </w:style>
  <w:style w:type="paragraph" w:customStyle="1" w:styleId="TableHeader">
    <w:name w:val="TableHeader"/>
    <w:basedOn w:val="Normal"/>
    <w:rsid w:val="006F49A9"/>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6F49A9"/>
  </w:style>
  <w:style w:type="paragraph" w:customStyle="1" w:styleId="EndNoteBibliographyTitle">
    <w:name w:val="EndNote Bibliography Title"/>
    <w:basedOn w:val="Normal"/>
    <w:link w:val="EndNoteBibliographyTitleChar"/>
    <w:rsid w:val="00590727"/>
    <w:pPr>
      <w:jc w:val="center"/>
    </w:pPr>
    <w:rPr>
      <w:lang w:val="en-US"/>
    </w:rPr>
  </w:style>
  <w:style w:type="character" w:customStyle="1" w:styleId="EndNoteBibliographyTitleChar">
    <w:name w:val="EndNote Bibliography Title Char"/>
    <w:basedOn w:val="DefaultParagraphFont"/>
    <w:link w:val="EndNoteBibliographyTitle"/>
    <w:rsid w:val="00590727"/>
    <w:rPr>
      <w:rFonts w:ascii="Calibri" w:hAnsi="Calibri"/>
      <w:lang w:val="en-US"/>
    </w:rPr>
  </w:style>
  <w:style w:type="paragraph" w:customStyle="1" w:styleId="EndNoteBibliography">
    <w:name w:val="EndNote Bibliography"/>
    <w:basedOn w:val="Normal"/>
    <w:link w:val="EndNoteBibliographyChar"/>
    <w:rsid w:val="00590727"/>
    <w:rPr>
      <w:lang w:val="en-US"/>
    </w:rPr>
  </w:style>
  <w:style w:type="character" w:customStyle="1" w:styleId="EndNoteBibliographyChar">
    <w:name w:val="EndNote Bibliography Char"/>
    <w:basedOn w:val="DefaultParagraphFont"/>
    <w:link w:val="EndNoteBibliography"/>
    <w:rsid w:val="00590727"/>
    <w:rPr>
      <w:rFonts w:ascii="Calibri" w:hAnsi="Calibri"/>
      <w:lang w:val="en-US"/>
    </w:rPr>
  </w:style>
  <w:style w:type="paragraph" w:styleId="Header">
    <w:name w:val="header"/>
    <w:basedOn w:val="Normal"/>
    <w:link w:val="HeaderChar"/>
    <w:uiPriority w:val="99"/>
    <w:unhideWhenUsed/>
    <w:rsid w:val="001077EF"/>
    <w:pPr>
      <w:tabs>
        <w:tab w:val="center" w:pos="4680"/>
        <w:tab w:val="right" w:pos="9360"/>
      </w:tabs>
    </w:pPr>
  </w:style>
  <w:style w:type="character" w:customStyle="1" w:styleId="HeaderChar">
    <w:name w:val="Header Char"/>
    <w:basedOn w:val="DefaultParagraphFont"/>
    <w:link w:val="Header"/>
    <w:uiPriority w:val="99"/>
    <w:rsid w:val="001077EF"/>
  </w:style>
  <w:style w:type="paragraph" w:styleId="Footer">
    <w:name w:val="footer"/>
    <w:basedOn w:val="Normal"/>
    <w:link w:val="FooterChar"/>
    <w:uiPriority w:val="99"/>
    <w:unhideWhenUsed/>
    <w:rsid w:val="001077EF"/>
    <w:pPr>
      <w:tabs>
        <w:tab w:val="center" w:pos="4680"/>
        <w:tab w:val="right" w:pos="9360"/>
      </w:tabs>
    </w:pPr>
  </w:style>
  <w:style w:type="character" w:customStyle="1" w:styleId="FooterChar">
    <w:name w:val="Footer Char"/>
    <w:basedOn w:val="DefaultParagraphFont"/>
    <w:link w:val="Footer"/>
    <w:uiPriority w:val="99"/>
    <w:rsid w:val="001077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character" w:styleId="Mention">
    <w:name w:val="Mention"/>
    <w:basedOn w:val="DefaultParagraphFont"/>
    <w:uiPriority w:val="99"/>
    <w:unhideWhenUsed/>
    <w:rPr>
      <w:color w:val="2B579A"/>
      <w:shd w:val="clear" w:color="auto" w:fill="E6E6E6"/>
    </w:rPr>
  </w:style>
  <w:style w:type="table" w:customStyle="1" w:styleId="a0">
    <w:basedOn w:val="TableNormal"/>
    <w:tblPr>
      <w:tblStyleRowBandSize w:val="1"/>
      <w:tblStyleColBandSize w:val="1"/>
      <w:tblCellMar>
        <w:left w:w="56" w:type="dxa"/>
        <w:right w:w="5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5358990?term=NCT05358990&amp;draw=2&amp;rank=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eativecommons.org/licenses/by-nc-nd/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zK+9DNq7EhqTpO3/cKueZ9Vxg==">AMUW2mU5ZljkUweo62C5ZN4XWvMUpOhtXFYkWpFm7c0z2QnQd/mdk6Ok+wvBdqIBQVZJVVXuJhSuNHM2VRVySx3QWuMmJi+srglRLtStM77uuy7BDIlXDow=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2022-12-31T11:31:00Z</dcterms:created>
  <dcterms:modified xsi:type="dcterms:W3CDTF">2022-12-31T11:31:00Z</dcterms:modified>
</cp:coreProperties>
</file>